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D3EC1">
      <w:pPr>
        <w:rPr>
          <w:rFonts w:hint="default"/>
          <w:b/>
          <w:bCs/>
          <w:lang w:val="ru-RU"/>
        </w:rPr>
      </w:pPr>
      <w:r>
        <w:rPr>
          <w:b/>
          <w:bCs/>
        </w:rPr>
        <w:t xml:space="preserve">УДК </w:t>
      </w:r>
      <w:r>
        <w:rPr>
          <w:rFonts w:hint="default"/>
          <w:b/>
          <w:bCs/>
          <w:lang w:val="en-US"/>
        </w:rPr>
        <w:t>373</w:t>
      </w:r>
      <w:r>
        <w:rPr>
          <w:rFonts w:hint="default"/>
          <w:b/>
          <w:bCs/>
          <w:lang w:val="ru-RU"/>
        </w:rPr>
        <w:t>.3</w:t>
      </w:r>
    </w:p>
    <w:p w14:paraId="2C3D5E76">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Научный руководитель:</w:t>
      </w:r>
    </w:p>
    <w:p w14:paraId="495DA18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Беленцов Сергей Иванович, </w:t>
      </w:r>
    </w:p>
    <w:p w14:paraId="2BA2397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SPIN-код: </w:t>
      </w:r>
      <w:r>
        <w:rPr>
          <w:rFonts w:ascii="Times New Roman" w:hAnsi="Times New Roman" w:cs="Times New Roman"/>
          <w:sz w:val="24"/>
          <w:szCs w:val="24"/>
          <w:highlight w:val="lightGray"/>
        </w:rPr>
        <w:t>______________</w:t>
      </w:r>
    </w:p>
    <w:p w14:paraId="386E4925">
      <w:pPr>
        <w:spacing w:after="0" w:line="240" w:lineRule="auto"/>
        <w:rPr>
          <w:rFonts w:ascii="Times New Roman" w:hAnsi="Times New Roman" w:cs="Times New Roman"/>
          <w:b/>
          <w:bCs/>
          <w:sz w:val="24"/>
          <w:szCs w:val="24"/>
        </w:rPr>
      </w:pPr>
      <w:r>
        <w:rPr>
          <w:rFonts w:ascii="Times New Roman" w:hAnsi="Times New Roman" w:cs="Times New Roman"/>
          <w:color w:val="000000" w:themeColor="text1"/>
          <w:sz w:val="24"/>
          <w:szCs w:val="24"/>
          <w14:textFill>
            <w14:solidFill>
              <w14:schemeClr w14:val="tx1"/>
            </w14:solidFill>
          </w14:textFill>
        </w:rPr>
        <w:t>доктор педагогических наук, профессор кафедры педагогики и образовательных технологий,</w:t>
      </w:r>
    </w:p>
    <w:p w14:paraId="31F89CC6">
      <w:pPr>
        <w:spacing w:after="0" w:line="240" w:lineRule="auto"/>
        <w:rPr>
          <w:rFonts w:hint="default" w:ascii="Times New Roman" w:hAnsi="Times New Roman" w:cs="Times New Roman"/>
          <w:sz w:val="24"/>
          <w:szCs w:val="24"/>
          <w:lang w:val="en-US"/>
        </w:rPr>
      </w:pPr>
      <w:r>
        <w:rPr>
          <w:rFonts w:ascii="Times New Roman" w:hAnsi="Times New Roman" w:cs="Times New Roman"/>
          <w:sz w:val="24"/>
          <w:szCs w:val="24"/>
        </w:rPr>
        <w:t xml:space="preserve">ФГБОУ ВО «Херсонский государственный педагогический университет»; 273003, Россия, г. Херсон, ул. Университетская, 27; </w:t>
      </w:r>
      <w:r>
        <w:rPr>
          <w:rFonts w:hint="default" w:ascii="Times New Roman" w:hAnsi="Times New Roman" w:cs="Times New Roman"/>
          <w:sz w:val="24"/>
          <w:szCs w:val="24"/>
          <w:lang w:val="en-US"/>
        </w:rPr>
        <w:t>Si_bel@mail.ru</w:t>
      </w:r>
    </w:p>
    <w:p w14:paraId="7251FFE9">
      <w:pPr>
        <w:spacing w:after="0" w:line="240" w:lineRule="auto"/>
        <w:rPr>
          <w:rFonts w:ascii="Times New Roman" w:hAnsi="Times New Roman" w:cs="Times New Roman"/>
          <w:b/>
          <w:bCs/>
          <w:sz w:val="24"/>
          <w:szCs w:val="24"/>
        </w:rPr>
      </w:pPr>
      <w:r>
        <w:rPr>
          <w:rFonts w:hint="default" w:ascii="Times New Roman" w:hAnsi="Times New Roman" w:cs="Times New Roman"/>
          <w:b/>
          <w:bCs/>
          <w:sz w:val="24"/>
          <w:szCs w:val="24"/>
          <w:lang w:val="ru-RU"/>
        </w:rPr>
        <w:t>Бондарь Виктория Валерьевна</w:t>
      </w:r>
      <w:r>
        <w:rPr>
          <w:rFonts w:ascii="Times New Roman" w:hAnsi="Times New Roman" w:cs="Times New Roman"/>
          <w:b/>
          <w:bCs/>
          <w:sz w:val="24"/>
          <w:szCs w:val="24"/>
        </w:rPr>
        <w:t xml:space="preserve">, </w:t>
      </w:r>
    </w:p>
    <w:p w14:paraId="3FE6015A">
      <w:pPr>
        <w:pStyle w:val="37"/>
        <w:spacing w:after="0" w:line="240" w:lineRule="auto"/>
        <w:rPr>
          <w:rFonts w:ascii="Times New Roman" w:hAnsi="Times New Roman" w:cs="Times New Roman"/>
          <w:spacing w:val="-1"/>
          <w:lang w:val="ru-RU"/>
        </w:rPr>
      </w:pPr>
      <w:r>
        <w:rPr>
          <w:rFonts w:ascii="Times New Roman" w:hAnsi="Times New Roman" w:cs="Times New Roman"/>
          <w:lang w:val="ru-RU"/>
        </w:rPr>
        <w:t>студент 2 курса,</w:t>
      </w:r>
      <w:r>
        <w:rPr>
          <w:rFonts w:ascii="Times New Roman" w:hAnsi="Times New Roman" w:cs="Times New Roman"/>
          <w:sz w:val="26"/>
          <w:szCs w:val="26"/>
          <w:lang w:val="ru-RU"/>
        </w:rPr>
        <w:t xml:space="preserve"> </w:t>
      </w:r>
      <w:r>
        <w:rPr>
          <w:rFonts w:ascii="Times New Roman" w:hAnsi="Times New Roman" w:cs="Times New Roman"/>
          <w:spacing w:val="-1"/>
          <w:lang w:val="ru-RU"/>
        </w:rPr>
        <w:t>Институт педагогического и специального образования,</w:t>
      </w:r>
    </w:p>
    <w:p w14:paraId="12839323">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sz w:val="24"/>
          <w:szCs w:val="24"/>
        </w:rPr>
        <w:t xml:space="preserve">ФГБОУ ВО «Херсонский государственный педагогический университет»; 273003, Россия, г. Херсон, ул. Университетская, 27; </w:t>
      </w:r>
      <w:r>
        <w:fldChar w:fldCharType="begin"/>
      </w:r>
      <w:r>
        <w:instrText xml:space="preserve"> HYPERLINK "mailto:oxana.tchirik@yandex.ru" </w:instrText>
      </w:r>
      <w:r>
        <w:fldChar w:fldCharType="separate"/>
      </w:r>
      <w:r>
        <w:rPr>
          <w:rFonts w:hint="default"/>
          <w:lang w:val="en-US"/>
        </w:rPr>
        <w:t>bondarv904@xmail</w:t>
      </w:r>
      <w:r>
        <w:rPr>
          <w:rStyle w:val="13"/>
          <w:rFonts w:ascii="Times New Roman" w:hAnsi="Times New Roman" w:cs="Times New Roman"/>
          <w:color w:val="000000" w:themeColor="text1"/>
          <w:sz w:val="24"/>
          <w:szCs w:val="24"/>
          <w:u w:val="none"/>
          <w14:textFill>
            <w14:solidFill>
              <w14:schemeClr w14:val="tx1"/>
            </w14:solidFill>
          </w14:textFill>
        </w:rPr>
        <w:t>.ru</w:t>
      </w:r>
      <w:r>
        <w:rPr>
          <w:rStyle w:val="13"/>
          <w:rFonts w:ascii="Times New Roman" w:hAnsi="Times New Roman" w:cs="Times New Roman"/>
          <w:color w:val="000000" w:themeColor="text1"/>
          <w:sz w:val="24"/>
          <w:szCs w:val="24"/>
          <w:u w:val="none"/>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w:t>
      </w:r>
    </w:p>
    <w:p w14:paraId="4A301FEB">
      <w:pPr>
        <w:spacing w:line="240" w:lineRule="auto"/>
        <w:rPr>
          <w:rFonts w:ascii="Times New Roman" w:hAnsi="Times New Roman" w:cs="Times New Roman"/>
          <w:b/>
          <w:bCs/>
          <w:sz w:val="24"/>
          <w:szCs w:val="24"/>
        </w:rPr>
      </w:pPr>
    </w:p>
    <w:p w14:paraId="57EEC507">
      <w:pPr>
        <w:spacing w:line="240" w:lineRule="auto"/>
        <w:jc w:val="center"/>
        <w:rPr>
          <w:rFonts w:ascii="Times New Roman" w:hAnsi="Times New Roman" w:cs="Times New Roman"/>
          <w:sz w:val="24"/>
          <w:szCs w:val="24"/>
        </w:rPr>
      </w:pPr>
      <w:r>
        <w:rPr>
          <w:rFonts w:ascii="Times New Roman" w:hAnsi="Times New Roman" w:cs="Times New Roman"/>
          <w:b/>
          <w:bCs/>
          <w:sz w:val="24"/>
          <w:szCs w:val="24"/>
        </w:rPr>
        <w:t>ОРГАНИЗАЦИЯ ФИЗКУЛЬТУРНО-ОЗДОРОВИТЕЛЬНЫХ ЗАНЯТИЙ В ГРУППАХ ПРОДЛЁННОГО ДНЯ: СОВРЕМЕННЫЕ ПОДХОДЫ И ПРОБЛЕМЫ</w:t>
      </w:r>
    </w:p>
    <w:p w14:paraId="7E099533">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Ключевые слова:</w:t>
      </w:r>
      <w:r>
        <w:rPr>
          <w:rFonts w:ascii="Times New Roman" w:hAnsi="Times New Roman" w:cs="Times New Roman"/>
          <w:sz w:val="24"/>
          <w:szCs w:val="24"/>
        </w:rPr>
        <w:t xml:space="preserve"> группа продлённого дня; младшие школьники; физкультурно-оздоровительная работа; двигательная активность; спортивный час; педагогическое моделирование; здоровьесберегающие технологии; выносливость; подвижные игры.</w:t>
      </w:r>
    </w:p>
    <w:p w14:paraId="13D9B6B4">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Аннотация.</w:t>
      </w:r>
      <w:r>
        <w:rPr>
          <w:rFonts w:ascii="Times New Roman" w:hAnsi="Times New Roman" w:cs="Times New Roman"/>
          <w:sz w:val="24"/>
          <w:szCs w:val="24"/>
        </w:rPr>
        <w:t xml:space="preserve"> В статье анализируются современные подходы</w:t>
      </w:r>
      <w:bookmarkStart w:id="0" w:name="_GoBack"/>
      <w:bookmarkEnd w:id="0"/>
      <w:r>
        <w:rPr>
          <w:rFonts w:ascii="Times New Roman" w:hAnsi="Times New Roman" w:cs="Times New Roman"/>
          <w:sz w:val="24"/>
          <w:szCs w:val="24"/>
        </w:rPr>
        <w:t xml:space="preserve"> и ключевые проблемы организации физкультурно-оздоровительной работы в группах продлённого дня (ГПД) для младших школьников. Раскрывается сущность и содержание физкультурно-оздоровительной работы в образовательных учреждениях. Выявлены основные барьеры: дефицит двигательной активности учащихся, недостаточная квалификация воспитателей, отсутствие научно обоснованных программ и слабая материально-техническая база. Обосновывается необходимость внедрения целостной модели спортивного часа, интегрирующей подвижные игры, дыхательные упражнения и средства, направленные на развитие общей выносливости. Представлены результаты эмпирических исследований, подтверждающих эффективность разработанных подходов. Даны практические рекомендации по оптимизации физкультурно-оздоровительной работы в ГПД.</w:t>
      </w:r>
    </w:p>
    <w:p w14:paraId="4324B22E">
      <w:pPr>
        <w:spacing w:after="0" w:line="240" w:lineRule="auto"/>
        <w:ind w:firstLine="709"/>
        <w:jc w:val="both"/>
        <w:rPr>
          <w:rFonts w:ascii="Times New Roman" w:hAnsi="Times New Roman" w:cs="Times New Roman"/>
          <w:sz w:val="24"/>
          <w:szCs w:val="24"/>
        </w:rPr>
      </w:pPr>
    </w:p>
    <w:p w14:paraId="70660890">
      <w:pPr>
        <w:spacing w:line="240" w:lineRule="auto"/>
        <w:jc w:val="center"/>
        <w:rPr>
          <w:rFonts w:ascii="Times New Roman" w:hAnsi="Times New Roman" w:cs="Times New Roman"/>
          <w:sz w:val="24"/>
          <w:szCs w:val="24"/>
        </w:rPr>
      </w:pPr>
      <w:r>
        <w:rPr>
          <w:rFonts w:ascii="Times New Roman" w:hAnsi="Times New Roman" w:cs="Times New Roman"/>
          <w:b/>
          <w:bCs/>
          <w:sz w:val="24"/>
          <w:szCs w:val="24"/>
        </w:rPr>
        <w:t>ORGANIZATION OF PHYSICAL CULTURE AND HEALTH IMPROVEMENT CLASSES IN AFTER-SCHOOL GROUPS: MODERN APPROACHES AND PROBLEMS</w:t>
      </w:r>
    </w:p>
    <w:p w14:paraId="1563777F">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b/>
          <w:bCs/>
          <w:sz w:val="24"/>
          <w:szCs w:val="24"/>
          <w:lang w:val="en-US"/>
        </w:rPr>
        <w:t>Keywords:</w:t>
      </w:r>
      <w:r>
        <w:rPr>
          <w:rFonts w:ascii="Times New Roman" w:hAnsi="Times New Roman" w:cs="Times New Roman"/>
          <w:sz w:val="24"/>
          <w:szCs w:val="24"/>
          <w:lang w:val="en-US"/>
        </w:rPr>
        <w:t xml:space="preserve"> after-school group; primary school children; physical culture and health improvement work; motor activity; sports hour; pedagogical modeling; health-saving technologies; endurance; outdoor games.</w:t>
      </w:r>
    </w:p>
    <w:p w14:paraId="23EC0E4B">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lang w:val="en-US"/>
        </w:rPr>
        <w:t>Abstract.</w:t>
      </w:r>
      <w:r>
        <w:rPr>
          <w:rFonts w:ascii="Times New Roman" w:hAnsi="Times New Roman" w:cs="Times New Roman"/>
          <w:sz w:val="24"/>
          <w:szCs w:val="24"/>
          <w:lang w:val="en-US"/>
        </w:rPr>
        <w:t xml:space="preserve"> The article analyzes modern approaches and key problems of organizing physical culture and health improvement work in after-school groups for primary school children. The essence and content of physical culture and health improvement work in educational institutions are revealed. The main barriers are identified: students' physical inactivity, insufficient qualifications of educators, lack of scientifically based programs, and poor material and technical facilities. The necessity of introducing a holistic model of a sports hour integrating outdoor games, breathing exercises, and means aimed at developing general endurance is substantiated. The results of empirical studies confirming the effectiveness of the developed approaches are presented. Practical recommendations for optimizing physical culture and health improvement work in after-school groups are given.</w:t>
      </w:r>
    </w:p>
    <w:p w14:paraId="4BEF2C1B">
      <w:pPr>
        <w:spacing w:after="0" w:line="240" w:lineRule="auto"/>
        <w:ind w:firstLine="709"/>
        <w:jc w:val="both"/>
        <w:rPr>
          <w:rFonts w:ascii="Times New Roman" w:hAnsi="Times New Roman" w:cs="Times New Roman"/>
          <w:sz w:val="24"/>
          <w:szCs w:val="24"/>
        </w:rPr>
      </w:pPr>
    </w:p>
    <w:p w14:paraId="6A525D8E">
      <w:pPr>
        <w:pStyle w:val="36"/>
        <w:shd w:val="clear" w:color="auto" w:fill="FFFFFF"/>
        <w:spacing w:before="0" w:beforeAutospacing="0" w:after="0" w:afterAutospacing="0"/>
        <w:ind w:firstLine="709"/>
        <w:jc w:val="both"/>
        <w:rPr>
          <w:color w:val="0F1115"/>
        </w:rPr>
      </w:pPr>
      <w:r>
        <w:rPr>
          <w:color w:val="0F1115"/>
        </w:rPr>
        <w:t>Современное состояние здоровья детей младшего школьного возраста вызывает обоснованную тревогу у педагогов, медиков и родителей. В условиях модернизации российского образования и внедрения Федерального государственного образовательного стандарта начального общего образования (ФГОС НОО) одной из приоритетных задач является формирование культуры здорового и безопасного образа жизни. Однако, как показывают многолетние исследования и статистические данные, декларируемые цели зачастую расходятся с реальным положением дел [6; 11; 15].</w:t>
      </w:r>
    </w:p>
    <w:p w14:paraId="74DBFD9B">
      <w:pPr>
        <w:pStyle w:val="36"/>
        <w:shd w:val="clear" w:color="auto" w:fill="FFFFFF"/>
        <w:spacing w:before="0" w:beforeAutospacing="0" w:after="0" w:afterAutospacing="0"/>
        <w:ind w:firstLine="709"/>
        <w:jc w:val="both"/>
        <w:rPr>
          <w:color w:val="0F1115"/>
        </w:rPr>
      </w:pPr>
      <w:r>
        <w:rPr>
          <w:color w:val="0F1115"/>
        </w:rPr>
        <w:t>Согласно данным многолетних исследований, за период обучения в школе в 5 раз увеличивается число нарушений органов зрения у учащихся, в 3 раза – патологии органов пищеварения, в 5 раз – нарушений осанки, в 4 раза – нервно-психических расстройств</w:t>
      </w:r>
      <w:r>
        <w:rPr>
          <w:color w:val="0F1115"/>
        </w:rPr>
        <w:br w:type="textWrapping"/>
      </w:r>
      <w:r>
        <w:rPr>
          <w:color w:val="0F1115"/>
        </w:rPr>
        <w:t>[6, с. 26; 11, с. 34; 15, с. 28]. По обобщённым данным, абсолютно здоровыми являются лишь 5% выпускников школ, тогда как 80% детей имеют хронические заболевания, 50% – морфофизиологические отклонения, свыше 70% страдают от различных нервно-психических расстройств [15, с. 45].</w:t>
      </w:r>
    </w:p>
    <w:p w14:paraId="369D082A">
      <w:pPr>
        <w:pStyle w:val="36"/>
        <w:shd w:val="clear" w:color="auto" w:fill="FFFFFF"/>
        <w:spacing w:before="0" w:beforeAutospacing="0" w:after="0" w:afterAutospacing="0"/>
        <w:ind w:firstLine="709"/>
        <w:jc w:val="both"/>
        <w:rPr>
          <w:color w:val="0F1115"/>
        </w:rPr>
      </w:pPr>
      <w:r>
        <w:rPr>
          <w:color w:val="0F1115"/>
        </w:rPr>
        <w:t>Одной из главных причин столь неблагоприятной динамики специалисты единодушно называют все возрастающий дефицит двигательной активности (гиподинамию) на фоне интенсификации учебного процесса и увеличения психоэмоциональных нагрузок. Современный школьник проводит в статическом положении (сидя за партой, за компьютером, у телевизора) до 80% времени бодрствования. Это противоречит самой биологической природе ребенка, для которого движение является естественной формой существования и мощным фактором роста и развития. Как подчеркивал Н.А. Бернштейн, движение – это важнейшая функция организма, формирующая структуру и деятельность всех его систем</w:t>
      </w:r>
      <w:r>
        <w:rPr>
          <w:color w:val="0F1115"/>
        </w:rPr>
        <w:br w:type="textWrapping"/>
      </w:r>
      <w:r>
        <w:rPr>
          <w:color w:val="0F1115"/>
        </w:rPr>
        <w:t>[4, с. 112].</w:t>
      </w:r>
    </w:p>
    <w:p w14:paraId="414EF99E">
      <w:pPr>
        <w:pStyle w:val="36"/>
        <w:shd w:val="clear" w:color="auto" w:fill="FFFFFF"/>
        <w:spacing w:before="0" w:beforeAutospacing="0" w:after="0" w:afterAutospacing="0"/>
        <w:ind w:firstLine="709"/>
        <w:jc w:val="both"/>
        <w:rPr>
          <w:color w:val="0F1115"/>
        </w:rPr>
      </w:pPr>
      <w:r>
        <w:rPr>
          <w:color w:val="0F1115"/>
        </w:rPr>
        <w:t>Гигиеническая норма суточной двигательной активности для младших школьников составляет 12-14 тысяч локомоций, что соответствует 1,5-2 часам активных движений</w:t>
      </w:r>
      <w:r>
        <w:rPr>
          <w:color w:val="0F1115"/>
        </w:rPr>
        <w:br w:type="textWrapping"/>
      </w:r>
      <w:r>
        <w:rPr>
          <w:color w:val="0F1115"/>
        </w:rPr>
        <w:t>[11, с. 21]. Однако реальный объём двигательной активности учащихся групп продлённого дня (ГПД) зачастую в 1,5-2 раза ниже этих норм. Уроки физической культуры компенсируют лишь 11-57% от суточной потребности [14, с. 134]. В связи с этим возникает объективная необходимость в использовании всех возможных форм неурочной работы для восполнения этого дефицита.</w:t>
      </w:r>
    </w:p>
    <w:p w14:paraId="0DCAEB62">
      <w:pPr>
        <w:pStyle w:val="36"/>
        <w:shd w:val="clear" w:color="auto" w:fill="FFFFFF"/>
        <w:spacing w:before="0" w:beforeAutospacing="0" w:after="0" w:afterAutospacing="0"/>
        <w:ind w:firstLine="709"/>
        <w:jc w:val="both"/>
        <w:rPr>
          <w:color w:val="0F1115"/>
        </w:rPr>
      </w:pPr>
      <w:r>
        <w:rPr>
          <w:color w:val="0F1115"/>
        </w:rPr>
        <w:t>Особую остроту проблема гиподинамии приобретает в группах продлённого дня.</w:t>
      </w:r>
      <w:r>
        <w:rPr>
          <w:color w:val="0F1115"/>
        </w:rPr>
        <w:br w:type="textWrapping"/>
      </w:r>
      <w:r>
        <w:rPr>
          <w:color w:val="0F1115"/>
        </w:rPr>
        <w:t>У школьников, которые ежедневно посещают группу продленного дня и находятся в классах 8-9 часов, наблюдается выраженный дефицит двигательной активности. Исследователи отмечают, что в таких условиях на изометрический режим, в котором работают мышцы ребенка, затрачивается до 75% дневного времени. Именно поэтому ГПД, обладая значительным временным ресурсом, должна стать не просто местом для выполнения домашних заданий, а важнейшим звеном в системе оздоровления и формирования здорового образа жизни младших школьников.</w:t>
      </w:r>
    </w:p>
    <w:p w14:paraId="3CB4BEEE">
      <w:pPr>
        <w:pStyle w:val="36"/>
        <w:shd w:val="clear" w:color="auto" w:fill="FFFFFF"/>
        <w:spacing w:before="0" w:beforeAutospacing="0" w:after="0" w:afterAutospacing="0"/>
        <w:ind w:firstLine="709"/>
        <w:jc w:val="both"/>
        <w:rPr>
          <w:color w:val="0F1115"/>
        </w:rPr>
      </w:pPr>
      <w:r>
        <w:rPr>
          <w:color w:val="0F1115"/>
        </w:rPr>
        <w:t>Особые возможности для системного решения этой проблемы предоставляют группы продлённого дня. ГПД – это форма организации внеурочного времени, позволяющая создать благоприятную среду для проведения оздоровительных мероприятий во второй половине дня, когда дети освобождены от учебных занятий [1, с. 163; 13, с. 36]. Как подчёркивают исследователи, посредством рационального воздействия на моторную функцию в условиях ГПД можно компенсировать недостаточную двигательную активность, способствовать правильному развитию организма и профилактике переутомления [2, с. 102; 12, с. 243].</w:t>
      </w:r>
    </w:p>
    <w:p w14:paraId="7D0D905E">
      <w:pPr>
        <w:pStyle w:val="36"/>
        <w:shd w:val="clear" w:color="auto" w:fill="FFFFFF"/>
        <w:spacing w:before="0" w:beforeAutospacing="0" w:after="0" w:afterAutospacing="0"/>
        <w:ind w:firstLine="709"/>
        <w:jc w:val="both"/>
        <w:rPr>
          <w:color w:val="0F1115"/>
        </w:rPr>
      </w:pPr>
      <w:r>
        <w:rPr>
          <w:color w:val="0F1115"/>
        </w:rPr>
        <w:t>Однако анализ практики показывает, что потенциал ГПД используется недостаточно. Физкультурно-оздоровительная работа часто носит эпизодический характер, сводится к неорганизованным прогулкам и не обеспечивает необходимого объёма физической нагрузки [8]. Мнение некоторых воспитателей, что дети лучше отдохнут, если не вмешиваться в их игры, что детям надо дать «свободу», является крайне ошибочным [13, с. 45].</w:t>
      </w:r>
    </w:p>
    <w:p w14:paraId="0C68532C">
      <w:pPr>
        <w:pStyle w:val="36"/>
        <w:shd w:val="clear" w:color="auto" w:fill="FFFFFF"/>
        <w:spacing w:before="0" w:beforeAutospacing="0" w:after="0" w:afterAutospacing="0"/>
        <w:ind w:firstLine="709"/>
        <w:jc w:val="both"/>
        <w:rPr>
          <w:color w:val="0F1115"/>
        </w:rPr>
      </w:pPr>
      <w:r>
        <w:rPr>
          <w:color w:val="0F1115"/>
        </w:rPr>
        <w:t>Таким образом, возникает противоречие между объективной потребностью в совершенствовании физкультурно-оздоровительной работы с младшими школьниками в ГПД и недостаточной разработанностью теоретических основ, содержания и организационно-методического обеспечения данного процесса. Целью данной статьи является анализ современных подходов и выявление ключевых проблем организации физкультурно-оздоровительных занятий в группах продлённого дня, а также обобщение эффективных практик их решения.</w:t>
      </w:r>
    </w:p>
    <w:p w14:paraId="194B7D8D">
      <w:pPr>
        <w:pStyle w:val="36"/>
        <w:shd w:val="clear" w:color="auto" w:fill="FFFFFF"/>
        <w:spacing w:before="0" w:beforeAutospacing="0" w:after="0" w:afterAutospacing="0"/>
        <w:ind w:firstLine="709"/>
        <w:jc w:val="both"/>
        <w:rPr>
          <w:color w:val="0F1115"/>
        </w:rPr>
      </w:pPr>
      <w:r>
        <w:rPr>
          <w:color w:val="0F1115"/>
        </w:rPr>
        <w:t>В педагогической теории и практике под физкультурно-оздоровительной работой понимается целостная, системно организованная совокупность мероприятий, направленных на использование средств физической культуры для укрепления здоровья, гармоничного физического развития, повышения работоспособности, воспитания потребности в здоровом образе жизни и овладения жизненно важными двигательными умениями и навыками</w:t>
      </w:r>
      <w:r>
        <w:rPr>
          <w:color w:val="0F1115"/>
        </w:rPr>
        <w:br w:type="textWrapping"/>
      </w:r>
      <w:r>
        <w:rPr>
          <w:color w:val="0F1115"/>
        </w:rPr>
        <w:t>[3, с. 34; 5, с. 22; 12, с. 145].</w:t>
      </w:r>
    </w:p>
    <w:p w14:paraId="2A2FAE1E">
      <w:pPr>
        <w:pStyle w:val="36"/>
        <w:shd w:val="clear" w:color="auto" w:fill="FFFFFF"/>
        <w:spacing w:before="0" w:beforeAutospacing="0" w:after="0" w:afterAutospacing="0"/>
        <w:ind w:firstLine="709"/>
        <w:jc w:val="both"/>
        <w:rPr>
          <w:color w:val="0F1115"/>
        </w:rPr>
      </w:pPr>
      <w:r>
        <w:rPr>
          <w:color w:val="0F1115"/>
        </w:rPr>
        <w:t xml:space="preserve">Анализ определений различных авторов позволяет выделить ключевые сущностные характеристики этого понятия. </w:t>
      </w:r>
    </w:p>
    <w:p w14:paraId="2588FB92">
      <w:pPr>
        <w:pStyle w:val="36"/>
        <w:shd w:val="clear" w:color="auto" w:fill="FFFFFF"/>
        <w:spacing w:before="0" w:beforeAutospacing="0" w:after="0" w:afterAutospacing="0"/>
        <w:ind w:firstLine="709"/>
        <w:jc w:val="both"/>
        <w:rPr>
          <w:color w:val="0F1115"/>
        </w:rPr>
      </w:pPr>
      <w:r>
        <w:rPr>
          <w:color w:val="0F1115"/>
        </w:rPr>
        <w:t xml:space="preserve">Первая характеристика – системность и целенаправленность: работа не является эпизодической, а представляет собой продуманную систему, интегрированную в общий учебно-воспитательный план школы. </w:t>
      </w:r>
    </w:p>
    <w:p w14:paraId="72544DA8">
      <w:pPr>
        <w:pStyle w:val="36"/>
        <w:shd w:val="clear" w:color="auto" w:fill="FFFFFF"/>
        <w:spacing w:before="0" w:beforeAutospacing="0" w:after="0" w:afterAutospacing="0"/>
        <w:ind w:firstLine="709"/>
        <w:jc w:val="both"/>
        <w:rPr>
          <w:color w:val="0F1115"/>
        </w:rPr>
      </w:pPr>
      <w:r>
        <w:rPr>
          <w:color w:val="0F1115"/>
        </w:rPr>
        <w:t>Вторая характеристика – полифункциональность: она решает одновременно три группы задач: оздоровительные (укрепление здоровья, профилактика заболеваний), образовательные (обучение движениям и знаниям) и воспитательные (формирование личностных качеств и ценностных ориентаций).</w:t>
      </w:r>
    </w:p>
    <w:p w14:paraId="1962335F">
      <w:pPr>
        <w:pStyle w:val="36"/>
        <w:shd w:val="clear" w:color="auto" w:fill="FFFFFF"/>
        <w:spacing w:before="0" w:beforeAutospacing="0" w:after="0" w:afterAutospacing="0"/>
        <w:ind w:firstLine="709"/>
        <w:jc w:val="both"/>
        <w:rPr>
          <w:color w:val="0F1115"/>
        </w:rPr>
      </w:pPr>
      <w:r>
        <w:rPr>
          <w:color w:val="0F1115"/>
        </w:rPr>
        <w:t xml:space="preserve">Третья характеристика – интегративность: предполагает комплексное использование разнообразных средств (физические упражнения, гигиенические факторы, оздоровительные силы природы) и форм (урочные и неурочные). </w:t>
      </w:r>
    </w:p>
    <w:p w14:paraId="001C5767">
      <w:pPr>
        <w:pStyle w:val="36"/>
        <w:shd w:val="clear" w:color="auto" w:fill="FFFFFF"/>
        <w:spacing w:before="0" w:beforeAutospacing="0" w:after="0" w:afterAutospacing="0"/>
        <w:ind w:firstLine="709"/>
        <w:jc w:val="both"/>
        <w:rPr>
          <w:color w:val="0F1115"/>
        </w:rPr>
      </w:pPr>
      <w:r>
        <w:rPr>
          <w:color w:val="0F1115"/>
        </w:rPr>
        <w:t>Четвёртая характеристика – возрастная адекватность: содержание и методы работы строго соответствуют возрастным, половым и индивидуальным особенностям детей, а также сенситивным периодам развития физических качеств [2, с. 56; 12, с. 243].</w:t>
      </w:r>
    </w:p>
    <w:p w14:paraId="5A51C157">
      <w:pPr>
        <w:pStyle w:val="36"/>
        <w:shd w:val="clear" w:color="auto" w:fill="FFFFFF"/>
        <w:spacing w:before="0" w:beforeAutospacing="0" w:after="0" w:afterAutospacing="0"/>
        <w:ind w:firstLine="709"/>
        <w:jc w:val="both"/>
        <w:rPr>
          <w:color w:val="0F1115"/>
        </w:rPr>
      </w:pPr>
      <w:r>
        <w:rPr>
          <w:color w:val="0F1115"/>
        </w:rPr>
        <w:t>Младший школьный возраст (7-11 лет) характеризуется рядом особенностей, которые делают его особенно сенситивным к воздействию физических нагрузок, но одновременно и уязвимым при их недостатке. Как отмечают М.М. Безруких, В.Д. Сонькин, Д.А. Фарбер, этот период отличается высокими темпами роста и развития всех органов и систем [4, с. 233]. Однако эти процессы протекают гетерохронно. Например, активно растет скелет и мышечная масса, но мышечная сила еще невелика, а связочный аппарат эластичен, что создает риск травм и нарушений осанки при неправильной организации занятий.</w:t>
      </w:r>
    </w:p>
    <w:p w14:paraId="0D7305EB">
      <w:pPr>
        <w:pStyle w:val="36"/>
        <w:shd w:val="clear" w:color="auto" w:fill="FFFFFF"/>
        <w:spacing w:before="0" w:beforeAutospacing="0" w:after="0" w:afterAutospacing="0"/>
        <w:ind w:firstLine="709"/>
        <w:jc w:val="both"/>
        <w:rPr>
          <w:color w:val="0F1115"/>
        </w:rPr>
      </w:pPr>
      <w:r>
        <w:rPr>
          <w:color w:val="0F1115"/>
        </w:rPr>
        <w:t>Сердечно-сосудистая и дыхательная системы в этом возрасте отличаются высокой интенсивностью функционирования, но их резервные возможности ограничены. Частота сердечных сокращений в покое у младших школьников составляет 90-100 уд/мин (у взрослых – 60-70), а частота дыхания – 20-24 цикла в минуту [4, с. 120]. При гиподинамии эти системы работают в еще более напряженном режиме, что ведет к их быстрому истощению. Напротив, правильно организованная двигательная активность оказывает мощное тренирующее воздействие: улучшается трофика тканей, укрепляется сердечная мышца, увеличивается жизненная емкость легких, нормализуются обменные процессы [15, с. 88].</w:t>
      </w:r>
    </w:p>
    <w:p w14:paraId="10B6CC09">
      <w:pPr>
        <w:pStyle w:val="36"/>
        <w:shd w:val="clear" w:color="auto" w:fill="FFFFFF"/>
        <w:spacing w:before="0" w:beforeAutospacing="0" w:after="0" w:afterAutospacing="0"/>
        <w:ind w:firstLine="709"/>
        <w:jc w:val="both"/>
        <w:rPr>
          <w:color w:val="0F1115"/>
        </w:rPr>
      </w:pPr>
      <w:r>
        <w:rPr>
          <w:color w:val="0F1115"/>
        </w:rPr>
        <w:t>Вся совокупность форм физкультурно-оздоровительной работы в школе традиционно подразделяется на две большие группы: урочные и неурочные. Критериями для такого деления служат степень регламентации, наличие или отсутствие жесткой структуры, продолжительность, роль педагога и обязательность посещения [5, с. 38].</w:t>
      </w:r>
    </w:p>
    <w:p w14:paraId="4FBE2992">
      <w:pPr>
        <w:pStyle w:val="36"/>
        <w:shd w:val="clear" w:color="auto" w:fill="FFFFFF"/>
        <w:spacing w:before="0" w:beforeAutospacing="0" w:after="0" w:afterAutospacing="0"/>
        <w:ind w:firstLine="709"/>
        <w:jc w:val="both"/>
        <w:rPr>
          <w:color w:val="0F1115"/>
        </w:rPr>
      </w:pPr>
      <w:r>
        <w:rPr>
          <w:color w:val="0F1115"/>
        </w:rPr>
        <w:t>Урочные формы представлены уроками физической культуры, которые являются основной, обязательной и наиболее организованной формой. Урок имеет четкую трехчастную структуру, регламентирован государственной программой и проводится 2-3 раза в неделю по 45 минут. Несмотря на несомненную важность урока, его возможностей для полного удовлетворения двигательных потребностей растущего организма недостаточно. Поэтому главный акцент в восполнении дефицита движений делается на неурочные формы.</w:t>
      </w:r>
    </w:p>
    <w:p w14:paraId="4D4D97A3">
      <w:pPr>
        <w:pStyle w:val="36"/>
        <w:shd w:val="clear" w:color="auto" w:fill="FFFFFF"/>
        <w:spacing w:before="0" w:beforeAutospacing="0" w:after="0" w:afterAutospacing="0"/>
        <w:ind w:firstLine="709"/>
        <w:jc w:val="both"/>
        <w:rPr>
          <w:color w:val="0F1115"/>
        </w:rPr>
      </w:pPr>
      <w:r>
        <w:rPr>
          <w:color w:val="0F1115"/>
        </w:rPr>
        <w:t>Неурочные формы отличаются большей вариативностью, гибкостью и ориентированы, в первую очередь, на оздоровление и активный отдых, а не на строгое обучение. К ним относятся: гимнастика до учебных занятий, физкультурные минутки и физкультпаузы, подвижные (динамические) перемены, спортивный час, а также внеклассные и внешкольные формы занятий [3, с. 43; 5, с. 22].</w:t>
      </w:r>
    </w:p>
    <w:p w14:paraId="7AEDD4A2">
      <w:pPr>
        <w:pStyle w:val="36"/>
        <w:shd w:val="clear" w:color="auto" w:fill="FFFFFF"/>
        <w:spacing w:before="0" w:beforeAutospacing="0" w:after="0" w:afterAutospacing="0"/>
        <w:ind w:firstLine="709"/>
        <w:jc w:val="both"/>
        <w:rPr>
          <w:color w:val="0F1115"/>
        </w:rPr>
      </w:pPr>
      <w:r>
        <w:rPr>
          <w:color w:val="0F1115"/>
        </w:rPr>
        <w:t>Обзор диссертационных исследований и научно-методических источников даёт основания выделить ряд подходов к построению физкультурно-оздоровительной деятельности в группах продлённого дня, а вместе с тем обнажает круг противоречий, ограничивающих её результативность.</w:t>
      </w:r>
    </w:p>
    <w:p w14:paraId="11034643">
      <w:pPr>
        <w:pStyle w:val="36"/>
        <w:shd w:val="clear" w:color="auto" w:fill="FFFFFF"/>
        <w:spacing w:before="0" w:beforeAutospacing="0" w:after="0" w:afterAutospacing="0"/>
        <w:ind w:firstLine="709"/>
        <w:jc w:val="both"/>
        <w:rPr>
          <w:color w:val="0F1115"/>
        </w:rPr>
      </w:pPr>
      <w:r>
        <w:rPr>
          <w:rStyle w:val="14"/>
          <w:b w:val="0"/>
          <w:bCs w:val="0"/>
          <w:color w:val="0F1115"/>
        </w:rPr>
        <w:t>Первая проблема – кадровая.</w:t>
      </w:r>
    </w:p>
    <w:p w14:paraId="45AB321C">
      <w:pPr>
        <w:pStyle w:val="36"/>
        <w:shd w:val="clear" w:color="auto" w:fill="FFFFFF"/>
        <w:spacing w:before="0" w:beforeAutospacing="0" w:after="0" w:afterAutospacing="0"/>
        <w:ind w:firstLine="709"/>
        <w:jc w:val="both"/>
        <w:rPr>
          <w:color w:val="0F1115"/>
        </w:rPr>
      </w:pPr>
      <w:r>
        <w:rPr>
          <w:color w:val="0F1115"/>
        </w:rPr>
        <w:t>Социологические опросы фиксируют, что у заметной доли воспитателей ГПД отсутствует профильная физкультурная подготовка, а потому они испытывают потребность в готовых методических материалах для проведения физкультурно-оздоровительной работы</w:t>
      </w:r>
      <w:r>
        <w:rPr>
          <w:color w:val="0F1115"/>
          <w:lang w:val="be-BY"/>
        </w:rPr>
        <w:br w:type="textWrapping"/>
      </w:r>
      <w:r>
        <w:rPr>
          <w:color w:val="0F1115"/>
          <w:lang w:val="en-US"/>
        </w:rPr>
        <w:t>[7</w:t>
      </w:r>
      <w:r>
        <w:rPr>
          <w:color w:val="0F1115"/>
          <w:lang w:val="be-BY"/>
        </w:rPr>
        <w:t>, с. 46; 9, с.14</w:t>
      </w:r>
      <w:r>
        <w:rPr>
          <w:color w:val="0F1115"/>
          <w:lang w:val="en-US"/>
        </w:rPr>
        <w:t>]</w:t>
      </w:r>
      <w:r>
        <w:rPr>
          <w:color w:val="0F1115"/>
        </w:rPr>
        <w:t>. При этом оздоровительную функцию группы продлённого дня считают приоритетной лишь около трети педагогов – большинство же ориентировано прежде всего на воспитательную составляющую</w:t>
      </w:r>
      <w:r>
        <w:rPr>
          <w:color w:val="0F1115"/>
          <w:lang w:val="be-BY"/>
        </w:rPr>
        <w:t xml:space="preserve"> </w:t>
      </w:r>
      <w:r>
        <w:rPr>
          <w:color w:val="0F1115"/>
          <w:lang w:val="en-US"/>
        </w:rPr>
        <w:t>[9</w:t>
      </w:r>
      <w:r>
        <w:rPr>
          <w:color w:val="0F1115"/>
        </w:rPr>
        <w:t>, с. 15</w:t>
      </w:r>
      <w:r>
        <w:rPr>
          <w:color w:val="0F1115"/>
          <w:lang w:val="en-US"/>
        </w:rPr>
        <w:t>]</w:t>
      </w:r>
      <w:r>
        <w:rPr>
          <w:color w:val="0F1115"/>
        </w:rPr>
        <w:t>.</w:t>
      </w:r>
    </w:p>
    <w:p w14:paraId="53AE37BC">
      <w:pPr>
        <w:pStyle w:val="36"/>
        <w:shd w:val="clear" w:color="auto" w:fill="FFFFFF"/>
        <w:spacing w:before="0" w:beforeAutospacing="0" w:after="0" w:afterAutospacing="0"/>
        <w:ind w:firstLine="709"/>
        <w:jc w:val="both"/>
        <w:rPr>
          <w:color w:val="0F1115"/>
        </w:rPr>
      </w:pPr>
      <w:r>
        <w:rPr>
          <w:color w:val="0F1115"/>
        </w:rPr>
        <w:t>Среди факторов, ограничивающих результативность физкультурно-оздоровительных занятий с младшими школьниками в условиях ГПД, выделяется несколько взаимосвязанных проблем. Слабая мотивация самих детей сочетается с нехваткой у них необходимой спортивной экипировки – соответствующей одежды, обуви и инвентаря. Наряду с этим часть педагогов не проявляет достаточной готовности к данному направлению работы и не располагает нужными знаниями о методике проведения подобных занятий [9, с. 173-174].</w:t>
      </w:r>
    </w:p>
    <w:p w14:paraId="5D9CFFC9">
      <w:pPr>
        <w:pStyle w:val="36"/>
        <w:shd w:val="clear" w:color="auto" w:fill="FFFFFF"/>
        <w:spacing w:before="0" w:beforeAutospacing="0" w:after="0" w:afterAutospacing="0"/>
        <w:ind w:firstLine="709"/>
        <w:jc w:val="both"/>
        <w:rPr>
          <w:b/>
          <w:bCs/>
          <w:color w:val="0F1115"/>
        </w:rPr>
      </w:pPr>
      <w:r>
        <w:rPr>
          <w:rStyle w:val="14"/>
          <w:b w:val="0"/>
          <w:bCs w:val="0"/>
          <w:color w:val="0F1115"/>
        </w:rPr>
        <w:t>Вторая проблема – отсутствие научно обоснованных программ и методик.</w:t>
      </w:r>
    </w:p>
    <w:p w14:paraId="6B0DAFB6">
      <w:pPr>
        <w:pStyle w:val="36"/>
        <w:shd w:val="clear" w:color="auto" w:fill="FFFFFF"/>
        <w:spacing w:before="0" w:beforeAutospacing="0" w:after="0" w:afterAutospacing="0"/>
        <w:ind w:firstLine="709"/>
        <w:jc w:val="both"/>
        <w:rPr>
          <w:color w:val="0F1115"/>
        </w:rPr>
      </w:pPr>
      <w:r>
        <w:rPr>
          <w:color w:val="0F1115"/>
        </w:rPr>
        <w:t>В сфере физического воспитания учащихся начальных классов программное обеспечение занятий в группах продлённого дня остаётся разработанным лишь частично</w:t>
      </w:r>
      <w:r>
        <w:rPr>
          <w:color w:val="0F1115"/>
        </w:rPr>
        <w:br w:type="textWrapping"/>
      </w:r>
      <w:r>
        <w:rPr>
          <w:color w:val="0F1115"/>
          <w:lang w:val="en-US"/>
        </w:rPr>
        <w:t>[</w:t>
      </w:r>
      <w:r>
        <w:rPr>
          <w:color w:val="0F1115"/>
          <w:lang w:val="be-BY"/>
        </w:rPr>
        <w:t>9, с. 6</w:t>
      </w:r>
      <w:r>
        <w:rPr>
          <w:color w:val="0F1115"/>
          <w:lang w:val="en-US"/>
        </w:rPr>
        <w:t>]</w:t>
      </w:r>
      <w:r>
        <w:rPr>
          <w:color w:val="0F1115"/>
        </w:rPr>
        <w:t xml:space="preserve">. Действующие методические подходы нередко игнорируют неравномерность созревания функциональных систем организма, а также периоды повышенной восприимчивости к развитию отдельных физических качеств </w:t>
      </w:r>
      <w:r>
        <w:rPr>
          <w:color w:val="0F1115"/>
          <w:lang w:val="en-US"/>
        </w:rPr>
        <w:t>[</w:t>
      </w:r>
      <w:r>
        <w:rPr>
          <w:color w:val="0F1115"/>
        </w:rPr>
        <w:t>4, с. 301; 10, с. 71</w:t>
      </w:r>
      <w:r>
        <w:rPr>
          <w:color w:val="0F1115"/>
          <w:lang w:val="en-US"/>
        </w:rPr>
        <w:t>]</w:t>
      </w:r>
      <w:r>
        <w:rPr>
          <w:color w:val="0F1115"/>
        </w:rPr>
        <w:t>. Показательно, что для детей, проживающих в зонах экологического неблагополучия, специализированные программы физкультурно-оздоровительной работы в продлённом дне фактически отсутствуют – это обстоятельство придаёт научным исследованиям в данном направлении особую значимость [9, с. 4].</w:t>
      </w:r>
    </w:p>
    <w:p w14:paraId="071AD653">
      <w:pPr>
        <w:pStyle w:val="36"/>
        <w:shd w:val="clear" w:color="auto" w:fill="FFFFFF"/>
        <w:spacing w:before="0" w:beforeAutospacing="0" w:after="0" w:afterAutospacing="0"/>
        <w:ind w:firstLine="709"/>
        <w:jc w:val="both"/>
        <w:rPr>
          <w:rStyle w:val="14"/>
          <w:color w:val="0F1115"/>
        </w:rPr>
      </w:pPr>
      <w:r>
        <w:rPr>
          <w:color w:val="0F1115"/>
        </w:rPr>
        <w:t>Слабая заинтересованность учащихся в сочетании с недостаточным оснащением учебного процесса образует ещё одно существенное препятствие для достижения образовательных целей.</w:t>
      </w:r>
    </w:p>
    <w:p w14:paraId="2B9CF5B6">
      <w:pPr>
        <w:pStyle w:val="36"/>
        <w:shd w:val="clear" w:color="auto" w:fill="FFFFFF"/>
        <w:spacing w:before="0" w:beforeAutospacing="0" w:after="0" w:afterAutospacing="0"/>
        <w:ind w:firstLine="709"/>
        <w:jc w:val="both"/>
        <w:rPr>
          <w:color w:val="0F1115"/>
        </w:rPr>
      </w:pPr>
      <w:r>
        <w:rPr>
          <w:color w:val="0F1115"/>
        </w:rPr>
        <w:t xml:space="preserve">Среди факторов, снижающих результативность занятий, педагоги выделяют два наиболее распространённых: слабую вовлечённость детей в процесс и нехватку у них необходимого инвентаря и спортивной формы </w:t>
      </w:r>
      <w:r>
        <w:rPr>
          <w:color w:val="0F1115"/>
          <w:lang w:val="en-US"/>
        </w:rPr>
        <w:t>[</w:t>
      </w:r>
      <w:r>
        <w:rPr>
          <w:color w:val="0F1115"/>
          <w:lang w:val="be-BY"/>
        </w:rPr>
        <w:t>9</w:t>
      </w:r>
      <w:r>
        <w:rPr>
          <w:color w:val="0F1115"/>
        </w:rPr>
        <w:t>, с. 174</w:t>
      </w:r>
      <w:r>
        <w:rPr>
          <w:color w:val="0F1115"/>
          <w:lang w:val="en-US"/>
        </w:rPr>
        <w:t>]</w:t>
      </w:r>
      <w:r>
        <w:rPr>
          <w:color w:val="0F1115"/>
        </w:rPr>
        <w:t>. При работе с детьми младшего школьного возраста для выстраивания мотивационной базы к двигательной активности задействуется широкий арсенал методов. Разъяснительные беседы и личный пример со стороны педагога образуют основу воздействия, тогда как физкультурная деятельность служит практическим подкреплением формируемых установок. Наряду с этим применяются замечания напоминающего характера и демонстрация видеоматериалов, ориентированных на пропаганду здорового образа жизни [9, с. 174].</w:t>
      </w:r>
    </w:p>
    <w:p w14:paraId="3F8B0C80">
      <w:pPr>
        <w:pStyle w:val="36"/>
        <w:shd w:val="clear" w:color="auto" w:fill="FFFFFF"/>
        <w:spacing w:before="0" w:beforeAutospacing="0" w:after="0" w:afterAutospacing="0"/>
        <w:ind w:firstLine="709"/>
        <w:jc w:val="both"/>
        <w:rPr>
          <w:color w:val="0F1115"/>
        </w:rPr>
      </w:pPr>
      <w:r>
        <w:rPr>
          <w:color w:val="0F1115"/>
        </w:rPr>
        <w:t xml:space="preserve">При отборе содержания занятий возникают объективные затруднения. Недельная и сезонная динамика работоспособности младших школьников должна приниматься во внимание при планировании нагрузки </w:t>
      </w:r>
      <w:r>
        <w:rPr>
          <w:color w:val="0F1115"/>
          <w:lang w:val="en-US"/>
        </w:rPr>
        <w:t>[</w:t>
      </w:r>
      <w:r>
        <w:rPr>
          <w:color w:val="0F1115"/>
        </w:rPr>
        <w:t>7, с. 45</w:t>
      </w:r>
      <w:r>
        <w:rPr>
          <w:color w:val="0F1115"/>
          <w:lang w:val="en-US"/>
        </w:rPr>
        <w:t>]</w:t>
      </w:r>
      <w:r>
        <w:rPr>
          <w:color w:val="0F1115"/>
        </w:rPr>
        <w:t>. Спортивный час принципиально отличается от урока физической культуры: его назначение состоит в активном отдыхе и восстановлении сил, тогда как освоение новых двигательных действий в его задачи не входит</w:t>
      </w:r>
      <w:r>
        <w:rPr>
          <w:color w:val="0F1115"/>
        </w:rPr>
        <w:br w:type="textWrapping"/>
      </w:r>
      <w:r>
        <w:rPr>
          <w:color w:val="0F1115"/>
          <w:lang w:val="en-US"/>
        </w:rPr>
        <w:t>[5</w:t>
      </w:r>
      <w:r>
        <w:rPr>
          <w:color w:val="0F1115"/>
        </w:rPr>
        <w:t>, с.15; 13, с. 56</w:t>
      </w:r>
      <w:r>
        <w:rPr>
          <w:color w:val="0F1115"/>
          <w:lang w:val="en-US"/>
        </w:rPr>
        <w:t>]</w:t>
      </w:r>
      <w:r>
        <w:rPr>
          <w:color w:val="0F1115"/>
        </w:rPr>
        <w:t>. Содержание этой формы работы допускает значительное разнообразие при условии, что предлагаемые виды деятельности соответствуют возрастным особенностям и реальным возможностям учащихся начальной школы [9, с. 120].</w:t>
      </w:r>
    </w:p>
    <w:p w14:paraId="546B6BFB">
      <w:pPr>
        <w:pStyle w:val="36"/>
        <w:shd w:val="clear" w:color="auto" w:fill="FFFFFF"/>
        <w:spacing w:before="0" w:beforeAutospacing="0" w:after="0" w:afterAutospacing="0"/>
        <w:ind w:firstLine="709"/>
        <w:jc w:val="both"/>
        <w:rPr>
          <w:color w:val="0F1115"/>
        </w:rPr>
      </w:pPr>
      <w:r>
        <w:rPr>
          <w:color w:val="0F1115"/>
        </w:rPr>
        <w:t>Среди форм двигательной активности, включённых в распорядок учебного дня младших школьников, подвижные (динамические) перемены обеспечивают наибольший объём движений. Показатели, фиксируемые в ходе таких перемен, превышают аналогичные данные по остальным учебным перерывам в два и более раза, а по сравнению с утренней гимнастикой до начала занятий – более чем втрое [14, с. 103].</w:t>
      </w:r>
    </w:p>
    <w:p w14:paraId="381A6216">
      <w:pPr>
        <w:pStyle w:val="36"/>
        <w:shd w:val="clear" w:color="auto" w:fill="FFFFFF"/>
        <w:spacing w:before="0" w:beforeAutospacing="0" w:after="0" w:afterAutospacing="0"/>
        <w:ind w:firstLine="709"/>
        <w:jc w:val="both"/>
        <w:rPr>
          <w:color w:val="0F1115"/>
        </w:rPr>
      </w:pPr>
      <w:r>
        <w:rPr>
          <w:color w:val="0F1115"/>
        </w:rPr>
        <w:t>Среди актуальных подходов к преодолению обозначенных затруднений заслуживает внимания педагогическое моделирование. Выстраиваемая в рамках группы продлённого дня модель физкультурно-оздоровительной работы охватывает несколько взаимосвязанных компонентов: целевой и содержательный образуют её смысловую основу, тогда как организационно-деятельностный и результативно-оценочный обеспечивают практическую реализацию и контроль достигаемых результатов [9, с. 179-183].</w:t>
      </w:r>
    </w:p>
    <w:p w14:paraId="6731C107">
      <w:pPr>
        <w:pStyle w:val="36"/>
        <w:shd w:val="clear" w:color="auto" w:fill="FFFFFF"/>
        <w:spacing w:before="0" w:beforeAutospacing="0" w:after="0" w:afterAutospacing="0"/>
        <w:ind w:firstLine="709"/>
        <w:jc w:val="both"/>
        <w:rPr>
          <w:color w:val="0F1115"/>
        </w:rPr>
      </w:pPr>
      <w:r>
        <w:rPr>
          <w:color w:val="0F1115"/>
        </w:rPr>
        <w:t>При создании организационно-функциональной модели управления физкультурно-оздоровительными занятиями в группах продлённого дня за основу были приняты действующие нормативно-правовые документы, регулирующие работу таких групп, а также реальные условия, в которых реализуется физическое воспитание школьников. Опора на эти условия дала возможность разграничить задачи двух типов – общие и специфические, – решаемые в ходе занятий с учащимися начальной школы. Параллельно были определены соответствующие организационные формы и специально отобранные средства физического воспитания детей младшего школьного возраста в условиях продлённого дня [9, с. 182].</w:t>
      </w:r>
    </w:p>
    <w:p w14:paraId="7AC71DFA">
      <w:pPr>
        <w:pStyle w:val="36"/>
        <w:shd w:val="clear" w:color="auto" w:fill="FFFFFF"/>
        <w:spacing w:before="0" w:beforeAutospacing="0" w:after="0" w:afterAutospacing="0"/>
        <w:ind w:firstLine="709"/>
        <w:jc w:val="both"/>
        <w:rPr>
          <w:color w:val="0F1115"/>
        </w:rPr>
      </w:pPr>
      <w:r>
        <w:rPr>
          <w:color w:val="0F1115"/>
        </w:rPr>
        <w:t>Модель опирается на классическую схему прямой и обратной связи, а также на принципы системности и конкретности [8, с. 68]. Физкультурно-оздоровительные занятия с младшими школьниками в группах продлённого дня направлены на то, чтобы способствовать становлению физической культуры учащихся I ступени образования и их оздоровлению – с обязательным учётом возрастной специфики [8, с. 68].</w:t>
      </w:r>
    </w:p>
    <w:p w14:paraId="43D60A5D">
      <w:pPr>
        <w:pStyle w:val="36"/>
        <w:shd w:val="clear" w:color="auto" w:fill="FFFFFF"/>
        <w:spacing w:before="0" w:beforeAutospacing="0" w:after="0" w:afterAutospacing="0"/>
        <w:ind w:firstLine="709"/>
        <w:jc w:val="both"/>
        <w:rPr>
          <w:color w:val="0F1115"/>
        </w:rPr>
      </w:pPr>
      <w:r>
        <w:rPr>
          <w:color w:val="0F1115"/>
        </w:rPr>
        <w:t>Спортивный час направлен на решение ряда взаимосвязанных задач. Среди них – укрепление здоровья учащихся и их физическое развитие, расширение знаний в области физической культуры, совершенствование двигательных навыков и способов двигательной деятельности. Наряду с этим ставится цель развития физических качеств и формирования у детей начальной школы устойчивой потребности в занятиях физической культурой. Отдельного внимания заслуживает специфическая задача, свойственная именно физкультурно-оздоровительным занятиям данного формата: преимущественное развитие аэробной выносливости у детей младшего школьного возраста [9, с. 182].</w:t>
      </w:r>
    </w:p>
    <w:p w14:paraId="05586615">
      <w:pPr>
        <w:pStyle w:val="36"/>
        <w:shd w:val="clear" w:color="auto" w:fill="FFFFFF"/>
        <w:spacing w:before="0" w:beforeAutospacing="0" w:after="0" w:afterAutospacing="0"/>
        <w:ind w:firstLine="709"/>
        <w:jc w:val="both"/>
        <w:rPr>
          <w:color w:val="0F1115"/>
        </w:rPr>
      </w:pPr>
      <w:r>
        <w:rPr>
          <w:color w:val="0F1115"/>
        </w:rPr>
        <w:t>Физическое состояние детей занимает в рамках данной модели одно из центральных мест: регулярная диагностика даёт воспитателю возможность вносить необходимые коррективы в учебные задания по мере необходимости.</w:t>
      </w:r>
    </w:p>
    <w:p w14:paraId="2B50F45E">
      <w:pPr>
        <w:pStyle w:val="36"/>
        <w:shd w:val="clear" w:color="auto" w:fill="FFFFFF"/>
        <w:spacing w:before="0" w:beforeAutospacing="0" w:after="0" w:afterAutospacing="0"/>
        <w:ind w:firstLine="709"/>
        <w:jc w:val="both"/>
        <w:rPr>
          <w:color w:val="0F1115"/>
        </w:rPr>
      </w:pPr>
      <w:r>
        <w:rPr>
          <w:color w:val="0F1115"/>
        </w:rPr>
        <w:t>Содержательный блок разработанной модели охватывает программу физкультурно-оздоровительной деятельности – так называемого спортивного часа – общим объёмом 172 часа за учебный год. Среди отличительных черт этой программы выделяется смещение акцента в сторону подвижных игр, ориентированных на аэробную нагрузку и формирование общей выносливости [2; 6; 9].</w:t>
      </w:r>
    </w:p>
    <w:p w14:paraId="5BBB9197">
      <w:pPr>
        <w:pStyle w:val="36"/>
        <w:shd w:val="clear" w:color="auto" w:fill="FFFFFF"/>
        <w:spacing w:before="0" w:beforeAutospacing="0" w:after="0" w:afterAutospacing="0"/>
        <w:ind w:firstLine="709"/>
        <w:jc w:val="both"/>
        <w:rPr>
          <w:color w:val="0F1115"/>
        </w:rPr>
      </w:pPr>
      <w:r>
        <w:rPr>
          <w:color w:val="0F1115"/>
        </w:rPr>
        <w:t>Акцент на выносливости как приоритетном физическом качестве объясняется её прямым влиянием на работу сердечно-сосудистой и дыхательной систем – особенно значимым в ситуации сниженной двигательной активности учащихся [4, с. 305; 12, с. 145]. Подвижные игры, включаемые в физкультурно-оздоровительные занятия с детьми младшего школьного возраста, строятся на движениях свободного, простого и разнообразного характера, не предполагают предварительной специальной подготовки участников. Насыщенность таких игр эмоциональным содержанием создаёт условия, при которых ребёнок получает возможность проявлять инициативу и демонстрировать личностные качества [2; 9].</w:t>
      </w:r>
    </w:p>
    <w:p w14:paraId="1291D6B4">
      <w:pPr>
        <w:pStyle w:val="36"/>
        <w:shd w:val="clear" w:color="auto" w:fill="FFFFFF"/>
        <w:spacing w:before="0" w:beforeAutospacing="0" w:after="0" w:afterAutospacing="0"/>
        <w:ind w:firstLine="709"/>
        <w:jc w:val="both"/>
        <w:rPr>
          <w:color w:val="0F1115"/>
        </w:rPr>
      </w:pPr>
      <w:r>
        <w:rPr>
          <w:color w:val="0F1115"/>
        </w:rPr>
        <w:t xml:space="preserve">Вторым значимым компонентом современных подходов является использование </w:t>
      </w:r>
      <w:r>
        <w:rPr>
          <w:rStyle w:val="14"/>
          <w:b w:val="0"/>
          <w:bCs w:val="0"/>
          <w:color w:val="0F1115"/>
        </w:rPr>
        <w:t>инновационных методик дыхательной гимнастики</w:t>
      </w:r>
      <w:r>
        <w:rPr>
          <w:color w:val="0F1115"/>
        </w:rPr>
        <w:t xml:space="preserve"> во время прогулок. Поскольку функция внешнего дыхания поддаётся произвольной регуляции, целенаправленное применение специальных дыхательных упражнений позволяет существенно повысить функциональные резервы кардиореспираторной системы [10, с. 72; 9, с. 176]. Методика комплексной дыхательной гимнастики для детей в условиях группы продленного дня рассчитана на два учебных полугодия еженедельных занятий (15-35 минут) и состоит из четырех этапов (учебная четверть – этап). Ее продолжительность на I этапе составляет 15-17 минут, на II этапе – 20-24 минуты, на III этапе – 25-30 минут, на IV этапе – 30-35 минут. От этапа к этапу происходит плавное с прогрессирующим эффектом к окончанию учебного года увеличение респираторной нагрузки, усложнение условий выполнения упражнений, постепенное повышение интенсивности занятий [9, с. 176].</w:t>
      </w:r>
    </w:p>
    <w:p w14:paraId="7FE665EB">
      <w:pPr>
        <w:pStyle w:val="36"/>
        <w:shd w:val="clear" w:color="auto" w:fill="FFFFFF"/>
        <w:spacing w:before="0" w:beforeAutospacing="0" w:after="0" w:afterAutospacing="0"/>
        <w:ind w:firstLine="709"/>
        <w:jc w:val="both"/>
        <w:rPr>
          <w:color w:val="0F1115"/>
        </w:rPr>
      </w:pPr>
      <w:r>
        <w:rPr>
          <w:color w:val="0F1115"/>
        </w:rPr>
        <w:t>Игровой метод позволяет поддерживать высокую эмоциональность и моторную плотность занятия, что способствует достижению тренирующего эффекта без принуждения [2; 6; 9]. В процессе игры ребенок никогда не устает. Ему радостно и комфортно. Игра создает защитные механизмы, осуществляется мощная психоэмоциональная разрядка, в результате которой возникают положительные эмоции [9, с. 177].</w:t>
      </w:r>
    </w:p>
    <w:p w14:paraId="0E93D7F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 проведённое исследование позволяет сформулировать следующие выводы и практические рекомендации.</w:t>
      </w:r>
    </w:p>
    <w:p w14:paraId="58D03FDF">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Современная организация физкультурно-оздоровительных занятий в ГПД сталкивается с серьёзными проблемами: неподготовленность кадров (отсутствие специального физкультурного образования у большинства воспитателей), отсутствие специализированных программ и методик, учитывающих возрастные особенности и сенситивные периоды развития детей, дефицит мотивации у детей и слабая материально-техническая база (недостаток инвентаря и оборудования).</w:t>
      </w:r>
    </w:p>
    <w:p w14:paraId="482F2980">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Эффективными подходами к преодолению этих проблем являются педагогическое моделирование и внедрение целостных программ, интегрирующих средства физической культуры. Разработанная организационно-функциональная модель управления физкультурно-оздоровительными занятиями позволяет системно подходить к организации работы в ГПД, обеспечивая взаимосвязь цели, задач, форм, средств и диагностики физического состояния детей.</w:t>
      </w:r>
    </w:p>
    <w:p w14:paraId="5457E505">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Ключевым направлением совершенствования содержания спортивного часа должно стать преимущественное развитие общей выносливости посредством подвижных игр и циклических упражнений аэробного характера, выполняемых на свежем воздухе. Выбор выносливости в качестве базового физического качества обусловлен её важнейшей ролью в улучшении деятельности сердечно-сосудистой и дыхательной систем, повышении общей работоспособности организма.</w:t>
      </w:r>
    </w:p>
    <w:p w14:paraId="4AF9E2A2">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Обязательным компонентом физкультурно-оздоровительной работы в ГПД является внедрение методик произвольной регуляции дыхания (дыхательная гимнастика), что способствует повышению устойчивости организма к простудным заболеваниям, увеличивает функциональные резервы кардиореспираторной системы и позволяет существенно снизить количество пропусков учебных занятий по болезни.</w:t>
      </w:r>
    </w:p>
    <w:p w14:paraId="6F783751">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Для решения кадровой проблемы необходима организация систематической методической поддержки воспитателей ГПД со стороны учителей физической культуры, проведение обучающих семинаров, круглых столов и практических занятий, а также обеспечение воспитателей готовыми практическими разработками комплексов упражнений и подвижных игр с учётом возрастных особенностей детей и сезонных изменений.</w:t>
      </w:r>
    </w:p>
    <w:p w14:paraId="71EF0FCA">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Использование мониторинга физического состояния (простейшие тесты на выносливость, силу, гибкость, координацию) позволяет обеспечить обратную связь и своевременно корректировать процесс физического воспитания в ГПД, делая его более индивидуализированным и эффективным.</w:t>
      </w:r>
    </w:p>
    <w:p w14:paraId="144B95A5">
      <w:r>
        <w:br w:type="page"/>
      </w:r>
    </w:p>
    <w:p w14:paraId="26959056">
      <w:pPr>
        <w:spacing w:after="0" w:line="240" w:lineRule="auto"/>
        <w:ind w:firstLine="709"/>
        <w:jc w:val="center"/>
        <w:rPr>
          <w:rFonts w:ascii="Times New Roman" w:hAnsi="Times New Roman" w:cs="Times New Roman"/>
          <w:sz w:val="24"/>
          <w:szCs w:val="24"/>
        </w:rPr>
      </w:pPr>
      <w:r>
        <w:rPr>
          <w:rFonts w:ascii="Times New Roman" w:hAnsi="Times New Roman" w:cs="Times New Roman"/>
          <w:b/>
          <w:bCs/>
          <w:sz w:val="24"/>
          <w:szCs w:val="24"/>
        </w:rPr>
        <w:t>Список литературы</w:t>
      </w:r>
    </w:p>
    <w:p w14:paraId="3C384C41">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Агафонова, К.В. Продленный день в школе / К.В. Агафонова, Р.Я. Зимина. – М.: Просвещение, 1984. – 207 с.</w:t>
      </w:r>
    </w:p>
    <w:p w14:paraId="56D230AE">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Ашмарин, Б.А. Теория и методики физического воспитания: учеб. для студентов фак. физ. культуры пед. ин-тов / Б.А. Ашмарин, Ю.А. Виноградов, З.Н. Вяткина; под ред. Б.А. Ашмарина. – М.: Просвещение, 2012. – 287 с.</w:t>
      </w:r>
    </w:p>
    <w:p w14:paraId="58A25F99">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Баранцев, С.А. Физкультурно-оздоровительная работа в школе: пособие для учителя / С.А. Баранцев, Г.В. Береуцин, Г.И. Довгаль, И.Н. Столяк; под ред. А.М. Шлемина. – М.: Просвещение, 2012. – 144 с.</w:t>
      </w:r>
    </w:p>
    <w:p w14:paraId="683A48FF">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Безруких, М.М. Возрастная физиология (Физиология развития ребенка): учеб. пособие для студ. высш. пед. учеб. заведений / М.М. Безруких, В.Д. Сонькин, Д.А. Фарбер. – М.: Академия, 2002. – 416 с.</w:t>
      </w:r>
    </w:p>
    <w:p w14:paraId="1F0F455E">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Василевская, Е.С. Физкультурно-оздоровительная работа в режиме учебного дня начальной школы: пособие для учителей начальных классов / Е.С. Василевская. – Мозырь: Белый ветер, 2007. – 54 c.</w:t>
      </w:r>
    </w:p>
    <w:p w14:paraId="27E4DBC0">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Гриженя, В.Е. Оптимизация двигательного режима младших школьников средствами подвижных игр и игровых упражнений: дис. ... канд. пед. наук: 13.00.04 / В.Е. Гриженя; МГАФК. – Малаховка, 2003. – 176 с.</w:t>
      </w:r>
    </w:p>
    <w:p w14:paraId="11CF1BDC">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Гаврилюк, А.П. Особенности «часов физической культуры» в группах продленного дня с учетом динамики работоспособности учеников младшего школьного возраста / А.П.</w:t>
      </w:r>
      <w:r>
        <w:t> </w:t>
      </w:r>
      <w:r>
        <w:rPr>
          <w:rFonts w:ascii="Times New Roman" w:hAnsi="Times New Roman" w:cs="Times New Roman"/>
          <w:sz w:val="24"/>
          <w:szCs w:val="24"/>
        </w:rPr>
        <w:t xml:space="preserve">Гаврилюк // Pedagogics, psychology, medical-biological problems of physical training and sports. – 2009. – № 12. – С. 44-47. URL: </w:t>
      </w:r>
      <w:r>
        <w:fldChar w:fldCharType="begin"/>
      </w:r>
      <w:r>
        <w:instrText xml:space="preserve"> HYPERLINK "https://cyberleninka.ru/article/n/osobennosti-chasov-fizicheskoy-kultury-v-gruppah-prodlennogo-dnya-s-uchetom-dinamiki-rabotosposobnosti-uchenikov-mladshego-shkolnogo" </w:instrText>
      </w:r>
      <w:r>
        <w:fldChar w:fldCharType="separate"/>
      </w:r>
      <w:r>
        <w:rPr>
          <w:rStyle w:val="13"/>
          <w:rFonts w:ascii="Times New Roman" w:hAnsi="Times New Roman" w:cs="Times New Roman"/>
          <w:color w:val="auto"/>
          <w:sz w:val="24"/>
          <w:szCs w:val="24"/>
          <w:u w:val="none"/>
        </w:rPr>
        <w:t>https://cyberleninka.ru/article/n/osobennosti-chasov-fizicheskoy-kultury-v-gruppah-prodlennogo-dnya-s-uchetom-dinamiki-rabotosposobnosti-uchenikov-mladshego-shkolnogo</w:t>
      </w:r>
      <w:r>
        <w:rPr>
          <w:rStyle w:val="13"/>
          <w:rFonts w:ascii="Times New Roman" w:hAnsi="Times New Roman" w:cs="Times New Roman"/>
          <w:color w:val="auto"/>
          <w:sz w:val="24"/>
          <w:szCs w:val="24"/>
          <w:u w:val="none"/>
        </w:rPr>
        <w:fldChar w:fldCharType="end"/>
      </w:r>
      <w:r>
        <w:rPr>
          <w:rFonts w:ascii="Times New Roman" w:hAnsi="Times New Roman" w:cs="Times New Roman"/>
          <w:sz w:val="24"/>
          <w:szCs w:val="24"/>
        </w:rPr>
        <w:t xml:space="preserve"> (дата обращения: 11.05.2026).</w:t>
      </w:r>
    </w:p>
    <w:p w14:paraId="516C88DC">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Дахин, А.Н. Педагогическое моделирование: сущность, эффективность и неопределенность / А.Н. Дахин // Теория и практика образовательной технологии. – М.: НИИ школьных технологий, 2004. – С. 65–93.</w:t>
      </w:r>
    </w:p>
    <w:p w14:paraId="4BCB33C4">
      <w:pPr>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Елютин, Ю.В. Методика и организация физкультурно-оздоровительных занятий с младшими школьниками в группах продлённого дня общеобразовательной школы: дис. ... канд. пед. наук: 13.00.04 / Ю.В. Елютин. – М., 1998. – 148 с.</w:t>
      </w:r>
    </w:p>
    <w:p w14:paraId="4D8DC9DB">
      <w:pPr>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Заярная, Н.И. Оптимизация процесса физического воспитания детей младшего школьного возраста / Н.И. Заярная, М.И. Якимова, И.А. Симакина, И.Н. Шестакова // Современное педагогическое образование. – 2023. – № 10. – С. 70-73. URL: </w:t>
      </w:r>
      <w:r>
        <w:fldChar w:fldCharType="begin"/>
      </w:r>
      <w:r>
        <w:instrText xml:space="preserve"> HYPERLINK "https://cyberleninka.ru/article/n/optimizatsiya-protsessa-fizicheskogo-vospitaniya-detey-mladshego-shkolnogo-vozrasta" </w:instrText>
      </w:r>
      <w:r>
        <w:fldChar w:fldCharType="separate"/>
      </w:r>
      <w:r>
        <w:rPr>
          <w:rStyle w:val="13"/>
          <w:rFonts w:ascii="Times New Roman" w:hAnsi="Times New Roman" w:cs="Times New Roman"/>
          <w:color w:val="auto"/>
          <w:sz w:val="24"/>
          <w:szCs w:val="24"/>
          <w:u w:val="none"/>
        </w:rPr>
        <w:t>https://cyberleninka.ru/article/n/optimizatsiya-protsessa-fizicheskogo-vospitaniya-detey-mladshego-shkolnogo-vozrasta</w:t>
      </w:r>
      <w:r>
        <w:rPr>
          <w:rStyle w:val="13"/>
          <w:rFonts w:ascii="Times New Roman" w:hAnsi="Times New Roman" w:cs="Times New Roman"/>
          <w:color w:val="auto"/>
          <w:sz w:val="24"/>
          <w:szCs w:val="24"/>
          <w:u w:val="none"/>
        </w:rPr>
        <w:fldChar w:fldCharType="end"/>
      </w:r>
      <w:r>
        <w:rPr>
          <w:rFonts w:ascii="Times New Roman" w:hAnsi="Times New Roman" w:cs="Times New Roman"/>
          <w:sz w:val="24"/>
          <w:szCs w:val="24"/>
        </w:rPr>
        <w:t xml:space="preserve"> (дата обращения: 11.05.2026).</w:t>
      </w:r>
    </w:p>
    <w:p w14:paraId="5385C6BA">
      <w:pPr>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Лебедева, Н.Т. Двигательная активность и вопросы обучения младших школьников: Гигиенические основы физического воспитания / Н.Т. Лебедева. – Мн.: Народная асвета, 1979. – 88 с.</w:t>
      </w:r>
    </w:p>
    <w:p w14:paraId="4E25A430">
      <w:pPr>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Матвеев, Л.П. Теория и методика физической культуры: учебник / Л.П. Матвеев. – М.: ФиС, 1991. – 543 с.</w:t>
      </w:r>
    </w:p>
    <w:p w14:paraId="15189E61">
      <w:pPr>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Минскин, Е.М. Игры и развлечения в группе продленного дня: пособие для учителя / Е.М. Минскин. – 2-е изд., перераб. и доп. – М.: Просвещение, 1983. – 192 с.</w:t>
      </w:r>
    </w:p>
    <w:p w14:paraId="6C80BA04">
      <w:pPr>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Начинская, С.В. Спортивная метрология: учебник для студентов учреждений высшего профессионального образования / С.В. Начинская. – 4-е изд. – М.: Академия, 2012. – 240 с.</w:t>
      </w:r>
    </w:p>
    <w:p w14:paraId="216D0FEF">
      <w:pPr>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Сухарев, А.Г. Здоровье и физическое воспитание детей и подростков / А.Г. Сухарев. – М.: Медицина, 1991. – 272 с.</w:t>
      </w:r>
    </w:p>
    <w:p w14:paraId="7833D9DC"/>
    <w:sectPr>
      <w:pgSz w:w="11906" w:h="16838"/>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000247B" w:usb2="00000009" w:usb3="00000000" w:csb0="200001FF" w:csb1="00000000"/>
  </w:font>
  <w:font w:name="Liberation Serif">
    <w:altName w:val="Times New Roman"/>
    <w:panose1 w:val="00000000000000000000"/>
    <w:charset w:val="00"/>
    <w:family w:val="roman"/>
    <w:pitch w:val="default"/>
    <w:sig w:usb0="00000000" w:usb1="00000000" w:usb2="00000000" w:usb3="00000000" w:csb0="00000000" w:csb1="00000000"/>
  </w:font>
  <w:font w:name="Mangal">
    <w:altName w:val="Segoe Print"/>
    <w:panose1 w:val="00000400000000000000"/>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FB5244"/>
    <w:multiLevelType w:val="multilevel"/>
    <w:tmpl w:val="1AFB524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2E2"/>
    <w:rsid w:val="00056E43"/>
    <w:rsid w:val="000A4C9E"/>
    <w:rsid w:val="0031376B"/>
    <w:rsid w:val="0032238A"/>
    <w:rsid w:val="0035787A"/>
    <w:rsid w:val="00462635"/>
    <w:rsid w:val="0053035A"/>
    <w:rsid w:val="0056257E"/>
    <w:rsid w:val="00575D6E"/>
    <w:rsid w:val="005C1BED"/>
    <w:rsid w:val="005E69D0"/>
    <w:rsid w:val="006D07BA"/>
    <w:rsid w:val="00716FCB"/>
    <w:rsid w:val="00772D9A"/>
    <w:rsid w:val="008D4B15"/>
    <w:rsid w:val="00922B1F"/>
    <w:rsid w:val="0094514A"/>
    <w:rsid w:val="009522E2"/>
    <w:rsid w:val="009C2458"/>
    <w:rsid w:val="009C4B34"/>
    <w:rsid w:val="009D1D39"/>
    <w:rsid w:val="00A64235"/>
    <w:rsid w:val="00B536DF"/>
    <w:rsid w:val="00B747CC"/>
    <w:rsid w:val="00B77A74"/>
    <w:rsid w:val="00C72EBD"/>
    <w:rsid w:val="00CA6EF8"/>
    <w:rsid w:val="00CD3600"/>
    <w:rsid w:val="00D46A69"/>
    <w:rsid w:val="00DC6F4B"/>
    <w:rsid w:val="00E8216D"/>
    <w:rsid w:val="00E85939"/>
    <w:rsid w:val="00EA7314"/>
    <w:rsid w:val="00F73C59"/>
    <w:rsid w:val="00FC300C"/>
    <w:rsid w:val="0C6A67E5"/>
    <w:rsid w:val="143D23F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styleId="14">
    <w:name w:val="Strong"/>
    <w:basedOn w:val="11"/>
    <w:qFormat/>
    <w:uiPriority w:val="22"/>
    <w:rPr>
      <w:b/>
      <w:bCs/>
    </w:rPr>
  </w:style>
  <w:style w:type="paragraph" w:styleId="15">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6">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7">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8">
    <w:name w:val="Заголовок 2 Знак"/>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9">
    <w:name w:val="Заголовок 3 Знак"/>
    <w:basedOn w:val="11"/>
    <w:link w:val="4"/>
    <w:semiHidden/>
    <w:uiPriority w:val="9"/>
    <w:rPr>
      <w:rFonts w:eastAsiaTheme="majorEastAsia" w:cstheme="majorBidi"/>
      <w:color w:val="2F5597" w:themeColor="accent1" w:themeShade="BF"/>
      <w:sz w:val="28"/>
      <w:szCs w:val="28"/>
    </w:rPr>
  </w:style>
  <w:style w:type="character" w:customStyle="1" w:styleId="20">
    <w:name w:val="Заголовок 4 Знак"/>
    <w:basedOn w:val="11"/>
    <w:link w:val="5"/>
    <w:semiHidden/>
    <w:uiPriority w:val="9"/>
    <w:rPr>
      <w:rFonts w:eastAsiaTheme="majorEastAsia" w:cstheme="majorBidi"/>
      <w:i/>
      <w:iCs/>
      <w:color w:val="2F5597" w:themeColor="accent1" w:themeShade="BF"/>
    </w:rPr>
  </w:style>
  <w:style w:type="character" w:customStyle="1" w:styleId="21">
    <w:name w:val="Заголовок 5 Знак"/>
    <w:basedOn w:val="11"/>
    <w:link w:val="6"/>
    <w:semiHidden/>
    <w:qFormat/>
    <w:uiPriority w:val="9"/>
    <w:rPr>
      <w:rFonts w:eastAsiaTheme="majorEastAsia" w:cstheme="majorBidi"/>
      <w:color w:val="2F5597" w:themeColor="accent1" w:themeShade="BF"/>
    </w:rPr>
  </w:style>
  <w:style w:type="character" w:customStyle="1" w:styleId="22">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Заголовок 7 Знак"/>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Заголовок Знак"/>
    <w:basedOn w:val="11"/>
    <w:link w:val="15"/>
    <w:uiPriority w:val="10"/>
    <w:rPr>
      <w:rFonts w:asciiTheme="majorHAnsi" w:hAnsiTheme="majorHAnsi" w:eastAsiaTheme="majorEastAsia" w:cstheme="majorBidi"/>
      <w:spacing w:val="-10"/>
      <w:kern w:val="28"/>
      <w:sz w:val="56"/>
      <w:szCs w:val="56"/>
    </w:rPr>
  </w:style>
  <w:style w:type="character" w:customStyle="1" w:styleId="27">
    <w:name w:val="Подзаголовок Знак"/>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Цитата 2 Знак"/>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Выделенная цитата Знак"/>
    <w:basedOn w:val="11"/>
    <w:link w:val="32"/>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Unresolved Mention"/>
    <w:basedOn w:val="11"/>
    <w:semiHidden/>
    <w:unhideWhenUsed/>
    <w:qFormat/>
    <w:uiPriority w:val="99"/>
    <w:rPr>
      <w:color w:val="605E5C"/>
      <w:shd w:val="clear" w:color="auto" w:fill="E1DFDD"/>
    </w:rPr>
  </w:style>
  <w:style w:type="paragraph" w:customStyle="1" w:styleId="36">
    <w:name w:val="ds-markdown-paragraph"/>
    <w:basedOn w:val="1"/>
    <w:uiPriority w:val="0"/>
    <w:pPr>
      <w:spacing w:before="100" w:beforeAutospacing="1" w:after="100" w:afterAutospacing="1" w:line="240" w:lineRule="auto"/>
    </w:pPr>
    <w:rPr>
      <w:rFonts w:ascii="Times New Roman" w:hAnsi="Times New Roman" w:eastAsia="Times New Roman" w:cs="Times New Roman"/>
      <w:kern w:val="0"/>
      <w:sz w:val="24"/>
      <w:szCs w:val="24"/>
      <w:lang w:eastAsia="ru-RU"/>
      <w14:ligatures w14:val="none"/>
    </w:rPr>
  </w:style>
  <w:style w:type="paragraph" w:customStyle="1" w:styleId="37">
    <w:name w:val="Text body"/>
    <w:basedOn w:val="1"/>
    <w:qFormat/>
    <w:uiPriority w:val="0"/>
    <w:pPr>
      <w:suppressAutoHyphens/>
      <w:autoSpaceDN w:val="0"/>
      <w:spacing w:after="140" w:line="288" w:lineRule="auto"/>
      <w:textAlignment w:val="baseline"/>
    </w:pPr>
    <w:rPr>
      <w:rFonts w:ascii="Liberation Serif" w:hAnsi="Liberation Serif" w:eastAsia="SimSun" w:cs="Mangal"/>
      <w:kern w:val="3"/>
      <w:sz w:val="24"/>
      <w:szCs w:val="24"/>
      <w:lang w:val="en-US" w:eastAsia="zh-CN" w:bidi="hi-I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2992</Words>
  <Characters>21685</Characters>
  <Lines>181</Lines>
  <Paragraphs>51</Paragraphs>
  <TotalTime>6</TotalTime>
  <ScaleCrop>false</ScaleCrop>
  <LinksUpToDate>false</LinksUpToDate>
  <CharactersWithSpaces>24605</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2026-05-11T13:18:00Z</dcterms:created>
  <dc:creator>Fenix</dc:creator>
  <cp:lastModifiedBy>WPS_1777310458</cp:lastModifiedBy>
  <dcterms:modified xsi:type="dcterms:W3CDTF">2026-05-11T18:59:48Z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eyJoZGlkIjoiZDNmY2UzMTA0NGQ4YmIwNWFlZmUxOWQxYjkxYWZmNWMiLCJ1c2VySWQiOiIyODg2MjE5MTU3MzAwIn0=</vt:lpwstr>
  </property>
  <property fmtid="{D5CDD505-2E9C-101B-9397-08002B2CF9AE}" pid="3" name="KSOProductBuildVer">
    <vt:lpwstr>1049-12.1.0.25862</vt:lpwstr>
  </property>
  <property fmtid="{D5CDD505-2E9C-101B-9397-08002B2CF9AE}" pid="4" name="ICV">
    <vt:lpwstr>F05318AE96054DFEAFC86F769F0956D3_12</vt:lpwstr>
  </property>
</Properties>
</file>