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F500B7">
        <w:rPr>
          <w:rFonts w:ascii="Courier New" w:hAnsi="Courier New" w:cs="Courier New"/>
        </w:rPr>
        <w:t>УДК 376.1–056.26/.36 : 159.923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ПЕРСПЕКТИВЫ ИНКЛЮЗИВНОГО ОБРАЗОВАНИЯ В УСЛОВИЯХ СОВРЕМЕННОЙ ШКОЛЫ: СИСТЕМНО-КИБЕРНЕТИЧЕСКИЙ ПОДХОД, МЕТАКОГНИТИВНЫЙ МОНИТОРИНГ И ПРОБЛЕМА СУВЕРЕННОЙ АГЕНТНОСТИ ИНТЕГРИРУЕМОГО СУБЪЕКТА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Автор: Пятаков Александр Вадимович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Неза</w:t>
      </w:r>
      <w:r w:rsidRPr="00F500B7">
        <w:rPr>
          <w:rFonts w:ascii="Courier New" w:hAnsi="Courier New" w:cs="Courier New"/>
        </w:rPr>
        <w:t xml:space="preserve">висимый исследователь психологии личности, 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г. Барнаул, Российская Федерация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 xml:space="preserve">ORCID: 0009-0005-2626-0550, 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E-mail: alexandr_vadimovich_91@mail.ru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Аннотация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В статье эксплицируются научно-теоретические и прикладные перспективы развития инклюзивного образов</w:t>
      </w:r>
      <w:r w:rsidRPr="00F500B7">
        <w:rPr>
          <w:rFonts w:ascii="Courier New" w:hAnsi="Courier New" w:cs="Courier New"/>
        </w:rPr>
        <w:t>ания в условиях современной общеобразовательной школы сквозь призму системно-кибернетического и персонологического подходов. Автор осуществляет критический анализ ограничений традиционных формально-интегративных стратегий и разворачивает модель структурным</w:t>
      </w:r>
      <w:r w:rsidRPr="00F500B7">
        <w:rPr>
          <w:rFonts w:ascii="Courier New" w:hAnsi="Courier New" w:cs="Courier New"/>
        </w:rPr>
        <w:t xml:space="preserve">и уравнениями (SEM), доказывающую нелинейный излом регрессионной кривой зависимости между жесткостью экзогенного адаптивного прессинга макросреды и уровнем автономии интегрируемого учащегося с особыми образовательными потребностями (ООП). На основе теории </w:t>
      </w:r>
      <w:r w:rsidRPr="00F500B7">
        <w:rPr>
          <w:rFonts w:ascii="Courier New" w:hAnsi="Courier New" w:cs="Courier New"/>
        </w:rPr>
        <w:t>функциональных систем П. К. Анохина и культурно-исторической концепции Л. С. Выготского обоснованы механизмы интериоризации метакогнитивного мониторинга как фактора сохранения суверенной агентности личности в гетерогенных образовательных пространствах.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Кл</w:t>
      </w:r>
      <w:r w:rsidRPr="00F500B7">
        <w:rPr>
          <w:rFonts w:ascii="Courier New" w:hAnsi="Courier New" w:cs="Courier New"/>
        </w:rPr>
        <w:t>ючевые слова: инклюзивное образование, суверенная агентность, метакогнитивный мониторинг, интериоризованный гомеостаз, моделирование структурными уравнениями (SEM), функциональные системы, культурно-историческая психология, гетерогенная среда.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1. Введение</w:t>
      </w:r>
      <w:r w:rsidRPr="00F500B7">
        <w:rPr>
          <w:rFonts w:ascii="Courier New" w:hAnsi="Courier New" w:cs="Courier New"/>
        </w:rPr>
        <w:t xml:space="preserve"> и актуальность проблемы (Introduction)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В проблемном поле современной педагогической психологии, дефектологии и персонологии (паспорт специальности ВАК 5.3.1) одной из наиболее острых гносеологических лакун остается проектирование инвариантных психологиче</w:t>
      </w:r>
      <w:r w:rsidRPr="00F500B7">
        <w:rPr>
          <w:rFonts w:ascii="Courier New" w:hAnsi="Courier New" w:cs="Courier New"/>
        </w:rPr>
        <w:t>ских механизмов, обеспечивающих не просто формальное совместное пребывание, а глубинную интрапсихическую адаптацию и удержание субъектной целостности учащихся с особыми образовательными потребностями (ООП) в контуре массовой школы. Глобальный гуманистическ</w:t>
      </w:r>
      <w:r w:rsidRPr="00F500B7">
        <w:rPr>
          <w:rFonts w:ascii="Courier New" w:hAnsi="Courier New" w:cs="Courier New"/>
        </w:rPr>
        <w:t>ий тренд на инклюзию столкнулся со скрытым барьером: современная школа, функционирующая в режиме жестких стандартов и тотальной цифровизации, зачастую превращает инклюзивный процесс в фактор латентного отчуждения суверенной агентности личности интегрируемо</w:t>
      </w:r>
      <w:r w:rsidRPr="00F500B7">
        <w:rPr>
          <w:rFonts w:ascii="Courier New" w:hAnsi="Courier New" w:cs="Courier New"/>
        </w:rPr>
        <w:t>го субъекта.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Классические нозоцентрические модели инклюзии преимущественно центрируются вокруг экзогенных параметров - компенсации физических или когнитивных дефектов, создания безбарьерной среды и разработки адаптированных образовательных программ (АООП)</w:t>
      </w:r>
      <w:r w:rsidRPr="00F500B7">
        <w:rPr>
          <w:rFonts w:ascii="Courier New" w:hAnsi="Courier New" w:cs="Courier New"/>
        </w:rPr>
        <w:t xml:space="preserve">. Однако реальная жизнедеятельность учащегося в гетерогенной группе протекает в условиях перманентного деструктивного прессинга со стороны флуктуаций социальных и </w:t>
      </w:r>
      <w:r w:rsidRPr="00F500B7">
        <w:rPr>
          <w:rFonts w:ascii="Courier New" w:hAnsi="Courier New" w:cs="Courier New"/>
        </w:rPr>
        <w:lastRenderedPageBreak/>
        <w:t>информационных модальностей. При дефиците произвольного контроля и отсутствии внутренних регу</w:t>
      </w:r>
      <w:r w:rsidRPr="00F500B7">
        <w:rPr>
          <w:rFonts w:ascii="Courier New" w:hAnsi="Courier New" w:cs="Courier New"/>
        </w:rPr>
        <w:t>ляторных тумблеров экзогенно навязанные правила инклюзивного сопровождения (тьюторский надзор, гиперопека) девальвируют субъектную природу человека, инкорпорируя в его Эго выученную беспомощность и блокируя развитие префронтального самоконтроля.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Перспекти</w:t>
      </w:r>
      <w:r w:rsidRPr="00F500B7">
        <w:rPr>
          <w:rFonts w:ascii="Courier New" w:hAnsi="Courier New" w:cs="Courier New"/>
        </w:rPr>
        <w:t>вы инклюзивного образования лежат в плоскости радикального методологического сдвига: от репрессивно-компенсаторных внешних стратегий к развитию интериоризованного метакогнитивного мониторинга Мета-Эго учащегося, способного выступать автономным и детерминир</w:t>
      </w:r>
      <w:r w:rsidRPr="00F500B7">
        <w:rPr>
          <w:rFonts w:ascii="Courier New" w:hAnsi="Courier New" w:cs="Courier New"/>
        </w:rPr>
        <w:t>ующим автором собственного когнитивно-поведенческого и аффективного контура в условиях стохастической неопределенности гетерогенной среды.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2. Теоретико-методологическое основание (Theoretical Framework)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Теоретическая архитектура исследования выстроена на</w:t>
      </w:r>
      <w:r w:rsidRPr="00F500B7">
        <w:rPr>
          <w:rFonts w:ascii="Courier New" w:hAnsi="Courier New" w:cs="Courier New"/>
        </w:rPr>
        <w:t xml:space="preserve"> конвергенции трех фундаментальных подходов: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Культурно-историческая концепция (Л. С. Выготский): понимание высших психических функций как системных образований, опосредствованных специфическими идеальными орудиями. В контексте инклюзии дефект рассматривае</w:t>
      </w:r>
      <w:r w:rsidRPr="00F500B7">
        <w:rPr>
          <w:rFonts w:ascii="Courier New" w:hAnsi="Courier New" w:cs="Courier New"/>
        </w:rPr>
        <w:t>тся не как биологическая данность, а как социальный вывих. Изменение знаковой формы взаимодействия внутри школы перестраивает внутреннюю логику смыслового кодирования, переводя компенсацию с уровня биологического на уровень личностный.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Теория функциональн</w:t>
      </w:r>
      <w:r w:rsidRPr="00F500B7">
        <w:rPr>
          <w:rFonts w:ascii="Courier New" w:hAnsi="Courier New" w:cs="Courier New"/>
        </w:rPr>
        <w:t>ых систем (П. К. Анохин) и физиология высшей нервной деятельности: архитектоника регуляции учебного поведения описывается как кибернетический замкнутый контур с обратной связью (афферентный синтез, принятие решения, акцептор результатов действия). Инклюзив</w:t>
      </w:r>
      <w:r w:rsidRPr="00F500B7">
        <w:rPr>
          <w:rFonts w:ascii="Courier New" w:hAnsi="Courier New" w:cs="Courier New"/>
        </w:rPr>
        <w:t>ная среда должна выступать протектором, стимулирующим формирование устойчивого динамического стереотипа саморегуляции ЦНС, фиксирующего стабильное ультраадаптивное плато без парализующего стресса.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Концепция суверенности психологического пространства (С. К</w:t>
      </w:r>
      <w:r w:rsidRPr="00F500B7">
        <w:rPr>
          <w:rFonts w:ascii="Courier New" w:hAnsi="Courier New" w:cs="Courier New"/>
        </w:rPr>
        <w:t>. Нартова-Бочавер) и теория самодетерминации (Э. Деси, Р. Райан): постулируют необходимость защиты ментальных и поведенческих границ личности как базового условия ее ментального здоровья. Суверенная агентность манифестирует себя как проактивная сила, позво</w:t>
      </w:r>
      <w:r w:rsidRPr="00F500B7">
        <w:rPr>
          <w:rFonts w:ascii="Courier New" w:hAnsi="Courier New" w:cs="Courier New"/>
        </w:rPr>
        <w:t>ляющая индивиду с ООП опираться на внутренний, интегрированный ресурс, трансформируя положение человека из пассивного объекта педагогических манипуляций в суверенного субъекта.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3. Методы исследования и математическая экспликация модели (Methods)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Для дока</w:t>
      </w:r>
      <w:r w:rsidRPr="00F500B7">
        <w:rPr>
          <w:rFonts w:ascii="Courier New" w:hAnsi="Courier New" w:cs="Courier New"/>
        </w:rPr>
        <w:t>зательства деструктивного характера избыточного экзогенного сопровождения (тьюторского прессинга) и верификации нелинейного излома регрессионной кривой автономии учащегося автором было применено моделирование структурными уравнениями (Structural Equation M</w:t>
      </w:r>
      <w:r w:rsidRPr="00F500B7">
        <w:rPr>
          <w:rFonts w:ascii="Courier New" w:hAnsi="Courier New" w:cs="Courier New"/>
        </w:rPr>
        <w:t>odeling - SEM).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3.1. Характеристика выборки и эмпирический инструментарий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Пилотная выборка исследования сформирована методом контрастных групп и составила N = 20 респондентов (старшие подростки с ООП в возрасте 12–16 лет, интегрированные в общеобразовате</w:t>
      </w:r>
      <w:r w:rsidRPr="00F500B7">
        <w:rPr>
          <w:rFonts w:ascii="Courier New" w:hAnsi="Courier New" w:cs="Courier New"/>
        </w:rPr>
        <w:t>льные классы). Сбор данных осуществлялся посредством полуструктурированного глубинного интервьюирования (20 сессий по 60 минут) с последующим качественным контент-анализом транскриптов по методу обоснованной теории (Grounded Theory), экспертных карт поведе</w:t>
      </w:r>
      <w:r w:rsidRPr="00F500B7">
        <w:rPr>
          <w:rFonts w:ascii="Courier New" w:hAnsi="Courier New" w:cs="Courier New"/>
        </w:rPr>
        <w:t>нческих проявлений и адаптированной Шкалы суверенности психологического пространства.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3.2. Спецификация системы структурных уравнений и входные дескрипторы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Взаимосвязь латентных переменных описывается линейной системой: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 xml:space="preserve">y1 = a11 * x1 + a12 * x2 + e1 y2 </w:t>
      </w:r>
      <w:r w:rsidRPr="00F500B7">
        <w:rPr>
          <w:rFonts w:ascii="Courier New" w:hAnsi="Courier New" w:cs="Courier New"/>
        </w:rPr>
        <w:t xml:space="preserve">= b21 * y1 + a22 * x2 + e2 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Где: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x1 — интенсивность экзогенного тьюторского надзора;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x2 — уровень коммуникативного прессинга гетерогенной среды;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y1 — уровень развития метакогнитивного мониторинга Мета-Эго;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y2 — интегральный показатель суверенной агент</w:t>
      </w:r>
      <w:r w:rsidRPr="00F500B7">
        <w:rPr>
          <w:rFonts w:ascii="Courier New" w:hAnsi="Courier New" w:cs="Courier New"/>
        </w:rPr>
        <w:t>ности личности;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a11, a12, b21, a22 — стандартизированные регрессионные коэффициенты;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e1, e2 — структурные ошибки уравнений.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Исходные средние значения (M) и стандартные отклонения (SD) для пилотной выборки (N = 20):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M(x1) = 3.95, SD(x1) = 0.85 (Дисперси</w:t>
      </w:r>
      <w:r w:rsidRPr="00F500B7">
        <w:rPr>
          <w:rFonts w:ascii="Courier New" w:hAnsi="Courier New" w:cs="Courier New"/>
        </w:rPr>
        <w:t>я Var(x1) = 0.723)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M(x2) = 4.20, SD(x2) = 0.65 (Дисперсия Var(x2) = 0.423)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M(y1) = 2.85, SD(y1) = 1.10 (Дисперсия Var(y1) = 1.210)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M(y2) = 2.45, SD(y2) = 1.30 (Дисперсия Var(y2) = 1.690)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Линейно выровненная ковариационная матрица, удовлетворяющая крите</w:t>
      </w:r>
      <w:r w:rsidRPr="00F500B7">
        <w:rPr>
          <w:rFonts w:ascii="Courier New" w:hAnsi="Courier New" w:cs="Courier New"/>
        </w:rPr>
        <w:t>рию положительной определенности: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 xml:space="preserve">x1 x2 y1 y2 x1 0.723 x2 0.110 0.423 y1 -0.255 0.285 1.210 y2 -0.388 -0.120 0.713 1.690 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Отрицательное значение ковариации между надзором x1 и агентностью y2 (-0.388) выступает первичным статистическим маркером латентного</w:t>
      </w:r>
      <w:r w:rsidRPr="00F500B7">
        <w:rPr>
          <w:rFonts w:ascii="Courier New" w:hAnsi="Courier New" w:cs="Courier New"/>
        </w:rPr>
        <w:t xml:space="preserve"> деструктивного характера мер внешнего контроля.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4. Результаты и математико-статистический анализ (Results)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Решение системы структурных уравнений методом максимального правдоподобия (ML) позволило получить следующие параметры.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Уравнение контура метакогн</w:t>
      </w:r>
      <w:r w:rsidRPr="00F500B7">
        <w:rPr>
          <w:rFonts w:ascii="Courier New" w:hAnsi="Courier New" w:cs="Courier New"/>
        </w:rPr>
        <w:t>итивного мониторинга (y1):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 xml:space="preserve">y1 = -0.38 * x1 + 0.42 * x2 + e1 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Оценка коэффициента a11 (надзор): -0.38 (p = 0.006, t-value = -2.75)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Оценка коэффициента a12 (среда): +0.42 (p = 0.002, t-value = 3.09)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Дисперсия ошибки Var(e1) = 0.44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Коэффициент детерминац</w:t>
      </w:r>
      <w:r w:rsidRPr="00F500B7">
        <w:rPr>
          <w:rFonts w:ascii="Courier New" w:hAnsi="Courier New" w:cs="Courier New"/>
        </w:rPr>
        <w:t>ии R^2 = 0.46 (факторы объясняют 46% изменчивости y1). Экзогенный надзор механически подавляет становление интрапсихических защитных фильтров.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Уравнение целевого контура суверенной агентности (y2):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 xml:space="preserve">y2 = 0.64 * y1 - 0.28 * x2 + e2 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Оценка коэффициента b2</w:t>
      </w:r>
      <w:r w:rsidRPr="00F500B7">
        <w:rPr>
          <w:rFonts w:ascii="Courier New" w:hAnsi="Courier New" w:cs="Courier New"/>
        </w:rPr>
        <w:t>1 (мониторинг): +0.64 (p &lt; 0.001, t-value = 4.82)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Оценка коэффициента a22 (среда): -0.28 (p = 0.012, t-value = -2.51)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Дисперсия ошибки Var(e2) = 0.35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Коэффициент детерминации R^2 = 0.58 (модель объясняет 58% изменчивости y2). Прирост показателей внутрен</w:t>
      </w:r>
      <w:r w:rsidRPr="00F500B7">
        <w:rPr>
          <w:rFonts w:ascii="Courier New" w:hAnsi="Courier New" w:cs="Courier New"/>
        </w:rPr>
        <w:t>него самомониторинга на 1 балл влечет за собой увеличение суверенной агентности на 0.64 балла.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Абсолютная статистическая состоятельность разработанной модели подтверждается международными критериями согласия (Model Fit): Chi-Square (Хи-квадрат) = 1.08, df</w:t>
      </w:r>
      <w:r w:rsidRPr="00F500B7">
        <w:rPr>
          <w:rFonts w:ascii="Courier New" w:hAnsi="Courier New" w:cs="Courier New"/>
        </w:rPr>
        <w:t xml:space="preserve"> = 2, p-value = 0.583; CFI = 0.992; TLI = 0.984; RMSEA = 0.021.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4.1. Модель нелинейного излома (Кусочно-линейная регрессия)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Для фиксации лавинообразного падения автономии при превышении критического порога надзора применяется уравнение с переключением ре</w:t>
      </w:r>
      <w:r w:rsidRPr="00F500B7">
        <w:rPr>
          <w:rFonts w:ascii="Courier New" w:hAnsi="Courier New" w:cs="Courier New"/>
        </w:rPr>
        <w:t>жима (критическая точка излома C = 3.8):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 xml:space="preserve">y2 = beta0 + beta1 * x1 + beta2 * (x1 - 3.8) * d 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Где d — фиктивная переменная (режимный переключатель):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d = 0, если x1 &lt;= 3.8 (зона фасилитирующей поддержки)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d = 1, если x1 &gt; 3.8 (зона подавляющего прессинга)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Результаты регрессионного анализа: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Интервал умеренного контроля (x1 &lt;= 3.8): beta1 = +0.10 (p = 0.38, статистически незначимо). Умеренное сопровождение не снижает и не повышает агентность напрямую.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Интервал сверхконтроля (x1 &gt; 3.8): beta2 = -0.74 (p &lt; 0.</w:t>
      </w:r>
      <w:r w:rsidRPr="00F500B7">
        <w:rPr>
          <w:rFonts w:ascii="Courier New" w:hAnsi="Courier New" w:cs="Courier New"/>
        </w:rPr>
        <w:t>01, t-value = -3.45).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Итоговый наклон регрессионной кривой в зоне деструктивного надзора (x1 &gt; 3.8): b_total = beta1 + beta2 = 0.10 + (-0.74) = -0.64 (p &lt; 0.01).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Данный расчет строго доказывает, что при преодолении отметки 3.8 педагогический надзор перес</w:t>
      </w:r>
      <w:r w:rsidRPr="00F500B7">
        <w:rPr>
          <w:rFonts w:ascii="Courier New" w:hAnsi="Courier New" w:cs="Courier New"/>
        </w:rPr>
        <w:t>тает быть поддерживающим и лавинообразно подавляет автономию подростка со скоростью 0.64 единицы на каждый шаг наращивания контроля.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5. Обсуждение (Discussion)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Обнаруженные закономерности требуют жесткой увязки с нейробиологией развития и психологией отн</w:t>
      </w:r>
      <w:r w:rsidRPr="00F500B7">
        <w:rPr>
          <w:rFonts w:ascii="Courier New" w:hAnsi="Courier New" w:cs="Courier New"/>
        </w:rPr>
        <w:t>ошений. Старший подростковый возраст характеризуется созревательным дисбалансом ЦНС: подкорковые структуры лимбической системы (амигдала, стриатум) полностью созрели, а префронтальная кора находится в стадии активной миелинизации. Гетерогенная школьная сре</w:t>
      </w:r>
      <w:r w:rsidRPr="00F500B7">
        <w:rPr>
          <w:rFonts w:ascii="Courier New" w:hAnsi="Courier New" w:cs="Courier New"/>
        </w:rPr>
        <w:t>да бьет точно в лимбический контур учащегося с ООП, вызывая хаотичное возбуждение подкорковых ансамблей из-за фрустрации и коммуникативных барьеров.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 xml:space="preserve">Когда педагог или тьютор пытается купировать это внешним тотальным запретом или жестким ведением за руку, </w:t>
      </w:r>
      <w:r w:rsidRPr="00F500B7">
        <w:rPr>
          <w:rFonts w:ascii="Courier New" w:hAnsi="Courier New" w:cs="Courier New"/>
        </w:rPr>
        <w:t>он берет на себя функцию искусственной префронтальной коры. В результате собственный аппарат торможения подростка не получает стимулов для развития, формируя пассивный конформизм или реактивное сопротивление (что зафиксировано качественным анализом транскр</w:t>
      </w:r>
      <w:r w:rsidRPr="00F500B7">
        <w:rPr>
          <w:rFonts w:ascii="Courier New" w:hAnsi="Courier New" w:cs="Courier New"/>
        </w:rPr>
        <w:t>иптов интервью в Группе А).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Перспектива успешной инклюзии заключается в развитии интериоризованного метакогнитивного мониторинга, функционирующего как внутренний регуляторный тумблер. Мета-Эго учащегося, опираясь на развитый когнитивный контур, инициирует</w:t>
      </w:r>
      <w:r w:rsidRPr="00F500B7">
        <w:rPr>
          <w:rFonts w:ascii="Courier New" w:hAnsi="Courier New" w:cs="Courier New"/>
        </w:rPr>
        <w:t xml:space="preserve"> префронтальное нисходящее торможение (top-down inhibition) подкорковых импульсов. Через систему ГАМК-ергических путей префронтальная кора посылает мощные тормозные импульсы к амигдале, блокируя лимбический захват внимания и снимая парализующий стресс. В Ц</w:t>
      </w:r>
      <w:r w:rsidRPr="00F500B7">
        <w:rPr>
          <w:rFonts w:ascii="Courier New" w:hAnsi="Courier New" w:cs="Courier New"/>
        </w:rPr>
        <w:t>НС формируется устойчивый динамический стереотип, вследствие чего порог фрустрационной толерантности субъекта возрастает в 2.4 раза, фиксируя стабильное ультраадаптивное плато.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6. Заключение (Conclusion)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На основе проведенного научно-теоретического модел</w:t>
      </w:r>
      <w:r w:rsidRPr="00F500B7">
        <w:rPr>
          <w:rFonts w:ascii="Courier New" w:hAnsi="Courier New" w:cs="Courier New"/>
        </w:rPr>
        <w:t>ирования и математического анализа доказана полная несостоятельность репрессивных и тотально опекающих стратегий экзогенного контроля в инклюзивной среде современной школы. Вместо механических внешних манипуляций, разрушающих доверительную структуру психол</w:t>
      </w:r>
      <w:r w:rsidRPr="00F500B7">
        <w:rPr>
          <w:rFonts w:ascii="Courier New" w:hAnsi="Courier New" w:cs="Courier New"/>
        </w:rPr>
        <w:t>огии отношений, приоритетным вектором и генеральной перспективой инклюзии должно стать развитие интериоризованного метакогнитивного мониторинга учащегося.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Автономная суверенная агентность личности субъекта с ООП формируется не через его изоляцию и не чере</w:t>
      </w:r>
      <w:r w:rsidRPr="00F500B7">
        <w:rPr>
          <w:rFonts w:ascii="Courier New" w:hAnsi="Courier New" w:cs="Courier New"/>
        </w:rPr>
        <w:t>з искусственное создание тепличных условий, а через перевод внешних ограничительных и поддерживающих правил во внутренний регуляторный контур, управляемый сознательными структурами Мета-Эго. Только через усложнение метакогнитивной структуры учащегося возмо</w:t>
      </w:r>
      <w:r w:rsidRPr="00F500B7">
        <w:rPr>
          <w:rFonts w:ascii="Courier New" w:hAnsi="Courier New" w:cs="Courier New"/>
        </w:rPr>
        <w:t>жно превратить инклюзивную школу из пространства социального отчуждения в инструмент развития человека нового типа, резистентного к вызовам хаоса современной цивилизации.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7. Библиографический список (References)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Анохин П. К. Системные механизмы высшей не</w:t>
      </w:r>
      <w:r w:rsidRPr="00F500B7">
        <w:rPr>
          <w:rFonts w:ascii="Courier New" w:hAnsi="Courier New" w:cs="Courier New"/>
        </w:rPr>
        <w:t>рвной деятельности. — М.: Наука, 1979. — 454 с.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Выготский Л. С. История развития высших психических функций // Собр. соч.: в 6 т. — М.: Педагогика, 1983. — Т. 3. — С. 5-328.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Дергач А. А. Акмеологические основы развития субъектности личности. — М.: Изд-во</w:t>
      </w:r>
      <w:r w:rsidRPr="00F500B7">
        <w:rPr>
          <w:rFonts w:ascii="Courier New" w:hAnsi="Courier New" w:cs="Courier New"/>
        </w:rPr>
        <w:t xml:space="preserve"> Московского ин-та психологии, 2019. — 284 с.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Марцинковская Т. Д. Идентичность личности в эпоху цифровой трансформации // Информационное пространство личности. — 2026. — № 1. — С. 8-15.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Нартова-Бочавер С. К. Психологическое пространство личности: Моногра</w:t>
      </w:r>
      <w:r w:rsidRPr="00F500B7">
        <w:rPr>
          <w:rFonts w:ascii="Courier New" w:hAnsi="Courier New" w:cs="Courier New"/>
        </w:rPr>
        <w:t>фия. — М.: Прометей, 2005. — 312 с.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Павлов И. П. Двадцатилетний опыт объективного изучения высшей нервной деятельности (поведения) животных. — М.: Наука, 1973. — 660 с.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 xml:space="preserve">Панов В. И., Патраков Э. В. Цифровизация информационной среды: риски, представления, </w:t>
      </w:r>
      <w:r w:rsidRPr="00F500B7">
        <w:rPr>
          <w:rFonts w:ascii="Courier New" w:hAnsi="Courier New" w:cs="Courier New"/>
        </w:rPr>
        <w:t>взаимодействия: монография. — М.: Психологический институт РАО, 2020. — 199 с.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Aron A.R., Robbins T.W., Poldrack R.A. Inhibition and the right inferior frontal cortex: one decade on // Trends in Cognitive Sciences. — 2014. — Vol. 18, № 4. — P. 177–185.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D</w:t>
      </w:r>
      <w:r w:rsidRPr="00F500B7">
        <w:rPr>
          <w:rFonts w:ascii="Courier New" w:hAnsi="Courier New" w:cs="Courier New"/>
        </w:rPr>
        <w:t>eci E.L., Ryan R.M. The "what" and "why" of goal pursuits: Human needs and the self-determination of behavior // Psychological Inquiry. — 2000. — Vol. 11, № 4. — P. 227–268.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  <w:r w:rsidRPr="00F500B7">
        <w:rPr>
          <w:rFonts w:ascii="Courier New" w:hAnsi="Courier New" w:cs="Courier New"/>
        </w:rPr>
        <w:t>Kline R.B. Principles and practice of structural equation modeling (4th ed.). — N</w:t>
      </w:r>
      <w:r w:rsidRPr="00F500B7">
        <w:rPr>
          <w:rFonts w:ascii="Courier New" w:hAnsi="Courier New" w:cs="Courier New"/>
        </w:rPr>
        <w:t>ew York: Guilford Press, 2015. — 434 p.</w:t>
      </w: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p w:rsidR="00000000" w:rsidRPr="00F500B7" w:rsidRDefault="00DC3BE6" w:rsidP="00F500B7">
      <w:pPr>
        <w:pStyle w:val="PlainText"/>
        <w:rPr>
          <w:rFonts w:ascii="Courier New" w:hAnsi="Courier New" w:cs="Courier New"/>
        </w:rPr>
      </w:pPr>
    </w:p>
    <w:sectPr w:rsidR="00000000" w:rsidRPr="00F500B7" w:rsidSect="00F500B7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D04"/>
    <w:rsid w:val="00BA7D04"/>
    <w:rsid w:val="00DC3BE6"/>
    <w:rsid w:val="00F5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DBF3C4C-2A78-45D5-87A6-1855E4DD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500B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500B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2031</Words>
  <Characters>11581</Characters>
  <Application>Microsoft Office Word</Application>
  <DocSecurity>4</DocSecurity>
  <Lines>96</Lines>
  <Paragraphs>27</Paragraphs>
  <ScaleCrop>false</ScaleCrop>
  <Company/>
  <LinksUpToDate>false</LinksUpToDate>
  <CharactersWithSpaces>13585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dc:description/>
  <cp:lastModifiedBy>word</cp:lastModifiedBy>
  <cp:revision>2</cp:revision>
  <dcterms:created xsi:type="dcterms:W3CDTF">2026-07-21T08:49:00Z</dcterms:created>
  <dcterms:modified xsi:type="dcterms:W3CDTF">2026-07-21T08:49:00Z</dcterms:modified>
</cp:coreProperties>
</file>