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2B5AD">
      <w:pPr>
        <w:pStyle w:val="2"/>
        <w:bidi w:val="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Calibri" w:hAnsi="Calibri" w:eastAsia="SimSun" w:cs="SimSun"/>
        </w:rPr>
        <w:t>Статья: «Технология критического мышления на уроках литературного чтения  как способ формирования читательской грамотности»</w:t>
      </w:r>
    </w:p>
    <w:p w14:paraId="3A3ADD2E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Автор: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Чернышёва Надежда Владимировна</w:t>
      </w:r>
      <w:bookmarkStart w:id="0" w:name="_GoBack"/>
      <w:bookmarkEnd w:id="0"/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Должность: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учитель начальных классов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Организация: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МБОУ гимназия №45, г.Владикавказ</w:t>
      </w:r>
    </w:p>
    <w:p w14:paraId="49999947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Аннотация</w:t>
      </w:r>
    </w:p>
    <w:p w14:paraId="794D138F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 статье раскрыта взаимосвязь технологии развития критического мышления (ТРКМ) и формирования читательской грамотности у младших школьников на уроках литературного чтения. Представлена трёхфазная структура урока (вызов — осмысление — рефлексия) с набором адаптированных для начальной школы приёмов. Приведён фрагмент урока по произведению К. Г. Паустовского «Стальное колечко» и показана связь конкретных приёмов с формированием читательских умений по модели PISA (поиск, интерпретация, оценка). Статья будет полезна учителям начальных классов и методистам.</w:t>
      </w:r>
    </w:p>
    <w:p w14:paraId="30C9E8FF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Ключевые слова: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читательская грамотность, критическое мышление, технология развития критического мышления, литературное чтение, начальная школа, приёмы ТРКМ, PISA.</w:t>
      </w:r>
    </w:p>
    <w:p w14:paraId="1C8F4712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Введение</w:t>
      </w:r>
    </w:p>
    <w:p w14:paraId="727744D2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Читательская грамотность в современном образовательном пространстве понимается не как умение бегло читать, а как способность понимать, использовать, оценивать тексты, размышлять о них и применять полученную информацию для достижения целей (по определению PISA). В начальной школе именно уроки литературного чтения создают естественную базу для развития этих умений.</w:t>
      </w:r>
    </w:p>
    <w:p w14:paraId="7A21B249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Федеральный государственный образовательный стандарт начального общего образования (ФГОС НОО) делает акцент на формировании универсальных учебных действий, в том числе познавательных: анализа, сравнения, установления причинно-следственных связей, аргументации. Традиционные методы работы с текстом часто ориентированы на воспроизведение содержания, тогда как для читательской грамотности важны интерпретация и оценка.</w:t>
      </w:r>
    </w:p>
    <w:p w14:paraId="08B9A0C8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Технология развития критического мышления через чтение и письмо (ТРКМЧП), разработанная Ч. Темплом, К. Мередитом и Д. Стил, в российской практике адаптирована С. И. Заир-Беком и И. В. Загашевой. Её базовая модель — трёхфазный урок: вызов, осмысление, рефлексия — органично встраивается в урок литературного чтения и позволяет системно формировать читательские умения.</w:t>
      </w:r>
    </w:p>
    <w:p w14:paraId="2F4A50D1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/>
          <w:lang w:val="ru-RU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 статьи — показать, как приёмы ТРКМ на каждом этапе урока способствуют формированию читательской грамотности в начальной школе, и предложить практический фра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гмент урока.</w:t>
      </w:r>
    </w:p>
    <w:p w14:paraId="2226E1A6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Теоретические основы</w:t>
      </w:r>
    </w:p>
    <w:p w14:paraId="4593B464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Читательская грамотность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включает три группы умений (PISA):</w:t>
      </w:r>
    </w:p>
    <w:p w14:paraId="11D9FD2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Находить и извлекать информацию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— локализовать факты, детали, последовательность событий.</w:t>
      </w:r>
    </w:p>
    <w:p w14:paraId="06FBDFD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Интегрировать и интерпретировать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— понимать смысл, устанавливать связи, делать выводы, понимать подтекст.</w:t>
      </w:r>
    </w:p>
    <w:p w14:paraId="1624D59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Оценивать и рефлексировать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— соотносить с собственным опытом, оценивать достоверность, мотивы героев, авторскую позицию.</w:t>
      </w:r>
    </w:p>
    <w:p w14:paraId="217D5F0A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Критическое мышление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в контексте обучения — это способность анализировать информацию, ставить вопросы, аргументировать позицию, проверять источники, корректировать собственные представления. В начальной школе критическое мышление проявляется в умении задавать вопросы к тексту, сравнивать версии, обосновывать выбор, замечать противоречия.</w:t>
      </w:r>
    </w:p>
    <w:p w14:paraId="1ABC6840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ТРКМ опирается на когнитивную модель «актуализация — осмысление — обобщение». Для младших школьников приёмы адаптируются по уровню сложности, объёму и форме работы (индивидуально, в парах, в группах).</w:t>
      </w:r>
    </w:p>
    <w:p w14:paraId="56782872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Трёхфазная модель урока и приёмы для формирования читательской грамотности</w:t>
      </w:r>
    </w:p>
    <w:p w14:paraId="1C205FE9">
      <w:pPr>
        <w:pStyle w:val="4"/>
        <w:keepNext w:val="0"/>
        <w:keepLines w:val="0"/>
        <w:widowControl/>
        <w:suppressLineNumbers w:val="0"/>
        <w:spacing w:before="240" w:beforeAutospacing="0" w:after="80" w:afterAutospacing="0" w:line="288" w:lineRule="atLeast"/>
        <w:ind w:left="0" w:right="560"/>
        <w:rPr>
          <w:rFonts w:hint="default" w:ascii="Arial" w:hAnsi="Arial" w:eastAsia="Arial" w:cs="Arial"/>
          <w:b/>
          <w:bCs/>
          <w:sz w:val="24"/>
          <w:szCs w:val="24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Стадия «Вызов» (актуализация знаний, мотивация, постановка вопросов)</w:t>
      </w:r>
    </w:p>
    <w:p w14:paraId="23026782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Цель: пробудить интерес, выявить имеющиеся представления, сформулировать вопросы.</w:t>
      </w:r>
    </w:p>
    <w:p w14:paraId="77B09C3C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Приёмы и их связь с читательской грамотностью:</w:t>
      </w:r>
    </w:p>
    <w:p w14:paraId="03D2A00E">
      <w:pPr>
        <w:keepNext w:val="0"/>
        <w:keepLines w:val="0"/>
        <w:widowControl/>
        <w:numPr>
          <w:ilvl w:val="0"/>
          <w:numId w:val="2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«Корзина идей»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ученики называют ассоциации с темой/названием текста. Развивает умение соотносить заголовок и содержание, прогнозировать.</w:t>
      </w:r>
    </w:p>
    <w:p w14:paraId="52A9884C">
      <w:pPr>
        <w:keepNext w:val="0"/>
        <w:keepLines w:val="0"/>
        <w:widowControl/>
        <w:numPr>
          <w:ilvl w:val="0"/>
          <w:numId w:val="2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«Верные и неверные утверждения»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до чтения ученики оценивают утверждения по теме текста. Тренирует критическую оценку, различение фактов и предположений.</w:t>
      </w:r>
    </w:p>
    <w:p w14:paraId="35456D01">
      <w:pPr>
        <w:keepNext w:val="0"/>
        <w:keepLines w:val="0"/>
        <w:widowControl/>
        <w:numPr>
          <w:ilvl w:val="0"/>
          <w:numId w:val="2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«Дерево предсказаний»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по заголовку и иллюстрациям формулируют гипотезы о содержании. Развивает прогнозирование и аргументацию.</w:t>
      </w:r>
    </w:p>
    <w:p w14:paraId="7C02D2D8">
      <w:pPr>
        <w:pStyle w:val="4"/>
        <w:keepNext w:val="0"/>
        <w:keepLines w:val="0"/>
        <w:widowControl/>
        <w:suppressLineNumbers w:val="0"/>
        <w:spacing w:before="240" w:beforeAutospacing="0" w:after="80" w:afterAutospacing="0" w:line="288" w:lineRule="atLeast"/>
        <w:ind w:left="0" w:right="560"/>
        <w:rPr>
          <w:rFonts w:hint="default" w:ascii="Arial" w:hAnsi="Arial" w:eastAsia="Arial" w:cs="Arial"/>
          <w:b/>
          <w:bCs/>
          <w:sz w:val="24"/>
          <w:szCs w:val="24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Стадия «Осмысление» (работа с текстом, поиск и интерпретация информации)</w:t>
      </w:r>
    </w:p>
    <w:p w14:paraId="4078A4AD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Цель: организовать активное чтение, поиск информации, построение понимания.</w:t>
      </w:r>
    </w:p>
    <w:p w14:paraId="14EE651C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Приёмы:</w:t>
      </w:r>
    </w:p>
    <w:p w14:paraId="2D469C77">
      <w:pPr>
        <w:keepNext w:val="0"/>
        <w:keepLines w:val="0"/>
        <w:widowControl/>
        <w:numPr>
          <w:ilvl w:val="0"/>
          <w:numId w:val="3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«Чтение с остановками»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текст делится на смысловые части; после каждой остановки задаются вопросы разных уровней сложности (по «Ромашке Блума»). Позволяет управлять пониманием, тренировать поиск деталей и интерпретацию.</w:t>
      </w:r>
    </w:p>
    <w:p w14:paraId="0D3A3CDE">
      <w:pPr>
        <w:keepNext w:val="0"/>
        <w:keepLines w:val="0"/>
        <w:widowControl/>
        <w:numPr>
          <w:ilvl w:val="0"/>
          <w:numId w:val="3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«Инсерт»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(маркировка текста): значки «V — знаю», «+ — новое», «− — думал иначе», «? — непонятно». Формирует навыки самоконтроля понимания, выявления противоречий.</w:t>
      </w:r>
    </w:p>
    <w:p w14:paraId="0234BA18">
      <w:pPr>
        <w:keepNext w:val="0"/>
        <w:keepLines w:val="0"/>
        <w:widowControl/>
        <w:numPr>
          <w:ilvl w:val="0"/>
          <w:numId w:val="3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«Толстые и тонкие вопросы»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«тонкие» — факты (кто, что, где), «толстые» — интерпретация (почему, зачем, что было бы, если). Развивает разные уровни читательских умений.</w:t>
      </w:r>
    </w:p>
    <w:p w14:paraId="6D9F1919">
      <w:pPr>
        <w:keepNext w:val="0"/>
        <w:keepLines w:val="0"/>
        <w:widowControl/>
        <w:numPr>
          <w:ilvl w:val="0"/>
          <w:numId w:val="3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«Дневник двойной записи»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две колонки «Цитата» и «Мои мысли/вопросы». Помогает фиксировать связь текста и личного опыта, тренирует рефлексию.</w:t>
      </w:r>
    </w:p>
    <w:p w14:paraId="39B6B913">
      <w:pPr>
        <w:pStyle w:val="4"/>
        <w:keepNext w:val="0"/>
        <w:keepLines w:val="0"/>
        <w:widowControl/>
        <w:suppressLineNumbers w:val="0"/>
        <w:spacing w:before="240" w:beforeAutospacing="0" w:after="80" w:afterAutospacing="0" w:line="288" w:lineRule="atLeast"/>
        <w:ind w:left="0" w:right="560"/>
        <w:rPr>
          <w:rFonts w:hint="default" w:ascii="Arial" w:hAnsi="Arial" w:eastAsia="Arial" w:cs="Arial"/>
          <w:b/>
          <w:bCs/>
          <w:sz w:val="24"/>
          <w:szCs w:val="24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Стадия «Рефлексия» (обобщение, оценка, перенос знаний)</w:t>
      </w:r>
    </w:p>
    <w:p w14:paraId="74727C9A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Цель: закрепить понимание, оценить, применить.</w:t>
      </w:r>
    </w:p>
    <w:p w14:paraId="793674B1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Приёмы:</w:t>
      </w:r>
    </w:p>
    <w:p w14:paraId="61595DC6">
      <w:pPr>
        <w:keepNext w:val="0"/>
        <w:keepLines w:val="0"/>
        <w:widowControl/>
        <w:numPr>
          <w:ilvl w:val="0"/>
          <w:numId w:val="4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«Синквейн»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пятистрочная форма для обобщения смысла. Развивает умение выделять главное, формулировать отношение к тексту.</w:t>
      </w:r>
    </w:p>
    <w:p w14:paraId="51CA72C6">
      <w:pPr>
        <w:keepNext w:val="0"/>
        <w:keepLines w:val="0"/>
        <w:widowControl/>
        <w:numPr>
          <w:ilvl w:val="0"/>
          <w:numId w:val="4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«Шесть шляп мышления»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(адаптированный вариант): ученики рассматривают текст с разных позиций (факты, эмоции, плюсы, минусы, креативные идеи, выводы). Тренирует многоаспектную оценку.</w:t>
      </w:r>
    </w:p>
    <w:p w14:paraId="2EACE09D">
      <w:pPr>
        <w:keepNext w:val="0"/>
        <w:keepLines w:val="0"/>
        <w:widowControl/>
        <w:numPr>
          <w:ilvl w:val="0"/>
          <w:numId w:val="4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Мини-эссе или устное высказывание «Что изменилось в моих представлениях?»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рефлексия над собственными гипотезами (возвращение к «Верным и неверным утверждениям»).</w:t>
      </w:r>
    </w:p>
    <w:p w14:paraId="5645CBB9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Практический фрагмент урока (на примере рассказа К. Г. Паустовского «Стальное колечко»)</w:t>
      </w:r>
    </w:p>
    <w:p w14:paraId="6B16E5C3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 фрагмента: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формирование умений интерпретировать мотивы героев и оценивать поступки.</w:t>
      </w:r>
    </w:p>
    <w:p w14:paraId="6147A022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Стадия «Вызов».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Приём «Корзина идей»: по названию «Стальное колечко» ученики называют ассоциации (кольцо — подарок, волшебство, память). Формулируют 2–3 вопроса к тексту: «Что особенного в этом кольце?», «Кому оно принадлежит?», «Почему оно стальное?». Это тренирует умение ставить вопросы и прогнозировать.</w:t>
      </w:r>
    </w:p>
    <w:p w14:paraId="3D6FD2D2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Стадия «Осмысление».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Чтение с остановками: после 1–2 абзацев останавливаемся и отвечаем на «тонкие» вопросы (кто герои, где происходит действие) и 1 «толстый» вопрос («Почему девочка так бережно относится к кольцу?»). После середины текста — приём «Инсерт»: отмечаем, что узнали нового и что было неожиданным.</w:t>
      </w:r>
    </w:p>
    <w:p w14:paraId="24CC06FB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Стадия «Рефлексия».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Возвращаемся к первоначальным вопросам и проверяем, на какие из них получили ответы. Приём «Синквейн» по образу главной героини: ученики формулируют суть её характера в 5 строках. Завершаем мини-выводом: «Что для героини значит кольцо? Как изменилось её отношение к нему к концу рассказа?»</w:t>
      </w:r>
    </w:p>
    <w:p w14:paraId="45780CE1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Связь с читательскими умениями:</w:t>
      </w:r>
    </w:p>
    <w:p w14:paraId="180E479B">
      <w:pPr>
        <w:keepNext w:val="0"/>
        <w:keepLines w:val="0"/>
        <w:widowControl/>
        <w:numPr>
          <w:ilvl w:val="0"/>
          <w:numId w:val="5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Поиск информации — через «тонкие вопросы» и маркировку.</w:t>
      </w:r>
    </w:p>
    <w:p w14:paraId="58BF820F">
      <w:pPr>
        <w:keepNext w:val="0"/>
        <w:keepLines w:val="0"/>
        <w:widowControl/>
        <w:numPr>
          <w:ilvl w:val="0"/>
          <w:numId w:val="5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Интерпретация — через «толстые вопросы», обсуждение мотивов.</w:t>
      </w:r>
    </w:p>
    <w:p w14:paraId="72F94E53">
      <w:pPr>
        <w:keepNext w:val="0"/>
        <w:keepLines w:val="0"/>
        <w:widowControl/>
        <w:numPr>
          <w:ilvl w:val="0"/>
          <w:numId w:val="5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Оценка — через рефлексию и синквейн (отношение, обобщение).</w:t>
      </w:r>
    </w:p>
    <w:p w14:paraId="166E9FB0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Трудности и способы их преодоления</w:t>
      </w:r>
    </w:p>
    <w:p w14:paraId="6B73B6AA">
      <w:pPr>
        <w:keepNext w:val="0"/>
        <w:keepLines w:val="0"/>
        <w:widowControl/>
        <w:numPr>
          <w:ilvl w:val="0"/>
          <w:numId w:val="6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Трудность: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дети не умеют формулировать вопросы.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Решение: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использовать шаблоны вопросов, карточки с типами вопросов, начинать с парной работы.</w:t>
      </w:r>
    </w:p>
    <w:p w14:paraId="5900E87E">
      <w:pPr>
        <w:keepNext w:val="0"/>
        <w:keepLines w:val="0"/>
        <w:widowControl/>
        <w:numPr>
          <w:ilvl w:val="0"/>
          <w:numId w:val="6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Трудность: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не все дети успевают делать пометки при чтении.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Решение: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применять упрощённые версии «Инсерта» (только «+ новое» и «? непонятно»), чередовать индивидуальную и групповую работу.</w:t>
      </w:r>
    </w:p>
    <w:p w14:paraId="4A18C157">
      <w:pPr>
        <w:keepNext w:val="0"/>
        <w:keepLines w:val="0"/>
        <w:widowControl/>
        <w:numPr>
          <w:ilvl w:val="0"/>
          <w:numId w:val="6"/>
        </w:numPr>
        <w:suppressLineNumbers w:val="0"/>
        <w:spacing w:before="96" w:beforeAutospacing="0" w:after="96" w:afterAutospacing="0" w:line="336" w:lineRule="atLeast"/>
        <w:ind w:left="0" w:right="560" w:hanging="360"/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Трудность: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сложно удерживать структуру трёх фаз на 35–40 минут урока.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Решение: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выбирать 1–2 приёма на стадию, заранее готовить карточки и шаблоны, использовать таймер.</w:t>
      </w:r>
    </w:p>
    <w:p w14:paraId="09D697FD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Выводы</w:t>
      </w:r>
    </w:p>
    <w:p w14:paraId="2D4951DF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Технология критического мышления органично сочетается с уроками литературного чтения в начальной школе и служит эффективным инструментом формирования читательской грамотности. Трёхфазная структура позволяет системно развивать все группы читательских умений: от поиска информации до интерпретации и оценки. Адаптация приёмов ТРКМ под возрастные особенности младших школьников (упрощённые формулировки, визуальные опоры, парная и групповая работа) делает технологию доступной и результативной.</w:t>
      </w:r>
    </w:p>
    <w:p w14:paraId="36A6ECDC">
      <w:pPr>
        <w:pStyle w:val="8"/>
        <w:keepNext w:val="0"/>
        <w:keepLines w:val="0"/>
        <w:widowControl/>
        <w:suppressLineNumbers w:val="0"/>
        <w:spacing w:before="80" w:beforeAutospacing="0" w:after="120" w:afterAutospacing="0" w:line="336" w:lineRule="atLeast"/>
        <w:ind w:left="0" w:right="5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Практическая ценность статьи заключается в том, что предложенные приёмы могут быть использованы в рамках любой программы по литературному чтению и легко встраиваются в существующее планирование.</w:t>
      </w:r>
    </w:p>
    <w:p w14:paraId="25D73518">
      <w:pPr>
        <w:pStyle w:val="3"/>
        <w:keepNext w:val="0"/>
        <w:keepLines w:val="0"/>
        <w:widowControl/>
        <w:suppressLineNumbers w:val="0"/>
        <w:spacing w:before="240" w:beforeAutospacing="0" w:after="120" w:afterAutospacing="0" w:line="336" w:lineRule="atLeast"/>
        <w:ind w:left="0" w:right="560"/>
        <w:rPr>
          <w:rFonts w:hint="default" w:ascii="Arial" w:hAnsi="Arial" w:eastAsia="Arial" w:cs="Arial"/>
          <w:b/>
          <w:bCs/>
          <w:sz w:val="27"/>
          <w:szCs w:val="27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Список литературы (по ГОСТ)</w:t>
      </w:r>
    </w:p>
    <w:p w14:paraId="147E6C69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Федеральный государственный образовательный стандарт начального общего образования. М.: Просвещение, 2021.</w:t>
      </w:r>
    </w:p>
    <w:p w14:paraId="709A0412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Заир-Бек С. И., Загашева И. В. Развитие критического мышления на уроке: пособие для учителя. М.: Просвещение, 2011.</w:t>
      </w:r>
    </w:p>
    <w:p w14:paraId="0E5E358C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PISA 2018: результаты исследования читательской грамотности. ОЭСР, 2019.</w:t>
      </w:r>
    </w:p>
    <w:p w14:paraId="440E7EDA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Темпл Ч., Мередит К., Стил Д. Руководство по развитию критического мышления. М.: ЦРНО, 2005.</w:t>
      </w:r>
    </w:p>
    <w:p w14:paraId="4414D9A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96" w:beforeAutospacing="0" w:after="96" w:afterAutospacing="0" w:line="336" w:lineRule="atLeast"/>
        <w:ind w:left="0" w:right="560" w:hanging="360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Паустовский К. Г. Стальное колечко. Любое издание для детей.</w:t>
      </w:r>
    </w:p>
    <w:p w14:paraId="3A73CCA9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sectPr>
      <w:pgSz w:w="11906" w:h="16838"/>
      <w:pgMar w:top="1440" w:right="1800" w:bottom="1440" w:left="1800" w:header="720" w:footer="720" w:gutter="0"/>
      <w:pgBorders>
        <w:top w:val="dotted" w:color="auto" w:sz="4" w:space="1"/>
        <w:left w:val="dotted" w:color="auto" w:sz="4" w:space="4"/>
        <w:bottom w:val="dotted" w:color="auto" w:sz="4" w:space="1"/>
        <w:right w:val="dotted" w:color="auto" w:sz="4" w:space="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658E26"/>
    <w:multiLevelType w:val="multilevel"/>
    <w:tmpl w:val="95658E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2DC99B7"/>
    <w:multiLevelType w:val="multilevel"/>
    <w:tmpl w:val="A2DC99B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57A5061"/>
    <w:multiLevelType w:val="multilevel"/>
    <w:tmpl w:val="D57A5061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E108B1DD"/>
    <w:multiLevelType w:val="multilevel"/>
    <w:tmpl w:val="E108B1DD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18FE8D30"/>
    <w:multiLevelType w:val="multilevel"/>
    <w:tmpl w:val="18FE8D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1CC5EFA7"/>
    <w:multiLevelType w:val="multilevel"/>
    <w:tmpl w:val="1CC5EF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78BBBDCE"/>
    <w:multiLevelType w:val="multilevel"/>
    <w:tmpl w:val="78BBBD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80F45"/>
    <w:rsid w:val="56D80F45"/>
    <w:rsid w:val="645C71AF"/>
    <w:rsid w:val="7CD6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Office_12.1.0.28099_F1E327BC-269C-435d-A152-05C5408002CA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2026-11-04T16:48:00Z</dcterms:created>
  <dc:creator>Надежда Владимировна</dc:creator>
  <cp:lastModifiedBy>Надежда Владимировна</cp:lastModifiedBy>
  <dcterms:modified xsi:type="dcterms:W3CDTF">2026-11-04T17:05:46Z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1049-12.1.0.28099</vt:lpwstr>
  </property>
  <property fmtid="{D5CDD505-2E9C-101B-9397-08002B2CF9AE}" pid="3" name="ICV">
    <vt:lpwstr>6DF52E589F1946578A01891EB09E8E01_11</vt:lpwstr>
  </property>
  <property fmtid="{D5CDD505-2E9C-101B-9397-08002B2CF9AE}" pid="4" name="KSOTemplateDocerSaveRecord">
    <vt:lpwstr>eyJoZGlkIjoiYTg2YWRmZGU0MDUxMGY0NWQyMTNhNjJiOTc3NzFiMjIifQ==</vt:lpwstr>
  </property>
</Properties>
</file>